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680085" cy="845185"/>
            <wp:effectExtent l="0" t="0" r="0" b="0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51" t="-122" r="-151" b="-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4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/>
      </w:pPr>
      <w:r>
        <w:rPr>
          <w:rStyle w:val="Style6"/>
          <w:b/>
          <w:sz w:val="28"/>
          <w:szCs w:val="28"/>
        </w:rPr>
        <w:t xml:space="preserve">ТОПКИНСКОГО МУНИЦИПАЛЬНОГО </w:t>
      </w:r>
      <w:r>
        <w:rPr>
          <w:rStyle w:val="Style6"/>
          <w:b/>
          <w:caps/>
          <w:sz w:val="28"/>
          <w:szCs w:val="28"/>
        </w:rPr>
        <w:t>округа</w:t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0" w:leader="none"/>
        </w:tabs>
        <w:ind w:hanging="0" w:start="0"/>
        <w:rPr/>
      </w:pPr>
      <w:r>
        <w:rPr/>
        <w:t>ПОСТАНОВЛЕНИЕ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28 сентября 2026 года № 1793-п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Style w:val="Style6"/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24.09.2025 № 1846-п «Об утверждении муниципальной программы «Культура Топкинского муниципального округа» на 2026 – 2028 годы»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keepNext w:val="true"/>
        <w:ind w:firstLine="709" w:start="0" w:end="0"/>
        <w:jc w:val="both"/>
        <w:rPr/>
      </w:pPr>
      <w:r>
        <w:rPr>
          <w:rStyle w:val="Style6"/>
          <w:color w:val="000000"/>
          <w:sz w:val="28"/>
          <w:szCs w:val="28"/>
        </w:rPr>
        <w:t xml:space="preserve">В </w:t>
      </w:r>
      <w:r>
        <w:rPr>
          <w:rStyle w:val="Style6"/>
          <w:color w:val="000000"/>
          <w:sz w:val="28"/>
          <w:szCs w:val="28"/>
          <w:shd w:fill="FFFFFF" w:val="clear"/>
        </w:rPr>
        <w:t>соответствии с Бюджетным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решением Совета народных депутатов Топкинского муниципального округа от 28.05.2026 № 175 «О внесении изменений в решение Совета народных депутатов Топкинского муниципального округа от 23.12.2025 № 118 «Об утверждении бюджета Топкинского муниципального округа на 2026 год и на плановый период 2027 и 2028 годов»</w:t>
      </w:r>
      <w:r>
        <w:rPr>
          <w:rStyle w:val="Style6"/>
          <w:b w:val="false"/>
          <w:bCs w:val="false"/>
          <w:color w:val="000000"/>
          <w:sz w:val="28"/>
          <w:szCs w:val="28"/>
          <w:shd w:fill="FFFFFF" w:val="clear"/>
        </w:rPr>
        <w:t xml:space="preserve">, </w:t>
      </w:r>
      <w:r>
        <w:rPr>
          <w:rStyle w:val="Style6"/>
          <w:color w:val="000000"/>
          <w:sz w:val="28"/>
          <w:szCs w:val="28"/>
          <w:shd w:fill="FFFFFF" w:val="clear"/>
        </w:rPr>
        <w:t>Уставом муниципального образования Топкинский муниципальный округ Кемеровской области — Кузбасса и приведением нормативного правового акта в соответствие:</w:t>
      </w:r>
    </w:p>
    <w:p>
      <w:pPr>
        <w:pStyle w:val="Normal"/>
        <w:widowControl/>
        <w:tabs>
          <w:tab w:val="clear" w:pos="720"/>
          <w:tab w:val="left" w:pos="426" w:leader="none"/>
        </w:tabs>
        <w:suppressAutoHyphens w:val="true"/>
        <w:ind w:firstLine="567" w:start="0" w:end="0"/>
        <w:jc w:val="both"/>
        <w:rPr/>
      </w:pPr>
      <w:r>
        <w:rPr>
          <w:rStyle w:val="Style6"/>
          <w:color w:val="000000"/>
          <w:sz w:val="28"/>
          <w:szCs w:val="28"/>
        </w:rPr>
        <w:t>1. Внести в постановление администрации Топкинского муниципального округа от 24.09.2025 № 1846-п «Об утверждении муниципальной программы «Культура Топкинского муниципального округа» на 2026 – 2028 годы» (далее — муниципальная программа) следующие изменения:</w:t>
      </w:r>
    </w:p>
    <w:p>
      <w:pPr>
        <w:pStyle w:val="Normal"/>
        <w:numPr>
          <w:ilvl w:val="0"/>
          <w:numId w:val="0"/>
        </w:numPr>
        <w:ind w:firstLine="567" w:start="0" w:end="0"/>
        <w:jc w:val="both"/>
        <w:outlineLvl w:val="0"/>
        <w:rPr/>
      </w:pPr>
      <w:r>
        <w:rPr>
          <w:sz w:val="28"/>
          <w:szCs w:val="28"/>
        </w:rPr>
        <w:t>1.1. В паспорте муниципальной программы строки «Направления (подпрограммы) муниципальной программы», «Цели муниципальной программы», «</w:t>
      </w:r>
      <w:r>
        <w:rPr>
          <w:rFonts w:cs="Nimbus Roman" w:ascii="Nimbus Roman" w:hAnsi="Nimbus Roman"/>
          <w:color w:val="000000"/>
          <w:sz w:val="28"/>
          <w:szCs w:val="28"/>
        </w:rPr>
        <w:t>Объемы и источники финансирования муниципальной программы в целом и с разбивкой по годам ее реализации»</w:t>
      </w:r>
      <w:r>
        <w:rPr>
          <w:sz w:val="28"/>
          <w:szCs w:val="28"/>
        </w:rPr>
        <w:t xml:space="preserve"> изложить в следующей редакции:</w:t>
      </w:r>
    </w:p>
    <w:p>
      <w:pPr>
        <w:pStyle w:val="Normal"/>
        <w:numPr>
          <w:ilvl w:val="0"/>
          <w:numId w:val="0"/>
        </w:numPr>
        <w:ind w:firstLine="567" w:start="0" w:end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089" w:type="dxa"/>
        <w:jc w:val="start"/>
        <w:tblInd w:w="-23" w:type="dxa"/>
        <w:tblLayout w:type="fixed"/>
        <w:tblCellMar>
          <w:top w:w="55" w:type="dxa"/>
          <w:start w:w="108" w:type="dxa"/>
          <w:bottom w:w="55" w:type="dxa"/>
          <w:end w:w="108" w:type="dxa"/>
        </w:tblCellMar>
      </w:tblPr>
      <w:tblGrid>
        <w:gridCol w:w="3614"/>
        <w:gridCol w:w="5474"/>
      </w:tblGrid>
      <w:tr>
        <w:trPr/>
        <w:tc>
          <w:tcPr>
            <w:tcW w:w="36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Направления  (подпрограммы) муниципальной  программы </w:t>
            </w:r>
          </w:p>
        </w:tc>
        <w:tc>
          <w:tcPr>
            <w:tcW w:w="547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Программа включает в себя подпрограммы: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1. «Развитие культуры»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2. «Библиотечное обслуживание»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3. «Дополнительное образование Топкинского муниципального округа»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sz w:val="28"/>
                <w:szCs w:val="28"/>
              </w:rPr>
            </w:pPr>
            <w:r>
              <w:rPr>
                <w:rFonts w:cs="Nimbus Roman" w:ascii="Nimbus Roman" w:hAnsi="Nimbus Roman"/>
                <w:sz w:val="28"/>
                <w:szCs w:val="28"/>
              </w:rPr>
              <w:t xml:space="preserve">4. «Музейное дело»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sz w:val="28"/>
                <w:szCs w:val="28"/>
              </w:rPr>
            </w:pPr>
            <w:r>
              <w:rPr>
                <w:rFonts w:cs="Nimbus Roman" w:ascii="Nimbus Roman" w:hAnsi="Nimbus Roman"/>
                <w:sz w:val="28"/>
                <w:szCs w:val="28"/>
              </w:rPr>
              <w:t>5. «Реализация государственной национальной политики на территории Топкинского муниципального округа»</w:t>
            </w:r>
          </w:p>
          <w:p>
            <w:pPr>
              <w:pStyle w:val="Style27"/>
              <w:jc w:val="both"/>
              <w:rPr>
                <w:color w:val="000000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6. </w:t>
            </w: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>«Сохранение, использование и популяризация объектов культурного наследия Топкинского муниципального округа»</w:t>
            </w:r>
          </w:p>
        </w:tc>
      </w:tr>
      <w:tr>
        <w:trPr/>
        <w:tc>
          <w:tcPr>
            <w:tcW w:w="361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47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Формирование единого культурного пространства с равным доступом населения Топкинского муниципального округа к культурным ценностям, информационным ресурсам и пользованию услугами отрасли;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Сохранение и развитие традиционного национального культурного наследия и обеспечение свободы творчества и развития культурного и духовного потенциала населения Топкинского муниципального округа;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Обеспечение преемственности традиционной российской культуры и развитие культурных инноваций.</w:t>
            </w:r>
          </w:p>
          <w:p>
            <w:pPr>
              <w:pStyle w:val="Style27"/>
              <w:jc w:val="both"/>
              <w:rPr/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Укрепление</w:t>
            </w: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 xml:space="preserve"> е</w:t>
            </w: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динства и согласия всех национальностей, проживающих в муниципальном образовании Топкинского </w:t>
            </w: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>муниципального округа, формирование гармоничных межнациональных отношений.</w:t>
            </w:r>
          </w:p>
          <w:p>
            <w:pPr>
              <w:pStyle w:val="BodyText"/>
              <w:rPr>
                <w:color w:val="000000"/>
                <w:shd w:fill="auto" w:val="clear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 xml:space="preserve">Обеспечение сохранности объектов культурного наследия на территории Топкинского муниципального округа и повышение их общественной значимости и вовлечение в социально-экономическое развитие Топкинского муниципального округа. </w:t>
            </w:r>
          </w:p>
        </w:tc>
      </w:tr>
      <w:tr>
        <w:trPr/>
        <w:tc>
          <w:tcPr>
            <w:tcW w:w="361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bookmarkStart w:id="0" w:name="__DdeLink__5246_4140137895"/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Объемы и источники финансирования муниципальной программы в целом и с разбивкой по годам ее реализации</w:t>
            </w:r>
            <w:bookmarkEnd w:id="0"/>
          </w:p>
        </w:tc>
        <w:tc>
          <w:tcPr>
            <w:tcW w:w="547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Общий объем средств, необходимых для реализации муниципальной программы на развитие культуры составляет  617 785,00 тыс. рублей, в том числе по годам реализации:</w:t>
            </w:r>
          </w:p>
          <w:p>
            <w:pPr>
              <w:pStyle w:val="Style27"/>
              <w:jc w:val="both"/>
              <w:rPr/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2026 год – 216 178,20 тыс. </w:t>
            </w: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>рублей;</w:t>
            </w:r>
          </w:p>
          <w:p>
            <w:pPr>
              <w:pStyle w:val="Style27"/>
              <w:jc w:val="both"/>
              <w:rPr/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>2027 год – 201 603,4</w:t>
            </w: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 тыс. рублей;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год – 200 003,4  тыс. рублей;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в том числе по источникам: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из средств местного бюджета – 592 094,16 тыс. рублей;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из средств областного бюджета – 15 444,74 тыс. рублей;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из средств федерального бюджета -10 246,1 тыс. руб;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В том числе: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Подпрограмма «Развитие культуры»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ВСЕГО: 334 642,6 тыс. рублей, в том числе: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–116 068,4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2 917,2тыс. рублей (областной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–111 558,53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 2 955,17  тыс. рублей (областной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111 558,53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2 955,17 тыс. рублей (областной бюджет).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Подпрограмма «Библиотечное обслуживание»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ВСЕГО: 101 309,5 тыс. рублей, в том числе: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32 711,6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1 824,1 тыс. рублей (областной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3800,0 тыс. рублей (федеральный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 31 495,1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2027 г. – 1 354,4 тыс. рублей (областной бюджет);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31 495,1 тыс. рублей (местный бюджет);</w:t>
            </w:r>
          </w:p>
          <w:p>
            <w:pPr>
              <w:pStyle w:val="Style27"/>
              <w:jc w:val="both"/>
              <w:rPr/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1 354,4 тыс. руб (областной бюджет).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Подпрограмма «Дополнительное образование Топкинского муниципального округа»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ВСЕГО: 141 205,6 тыс. рублей, в том числе: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43763,6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327,1 тыс. рублей (областной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2026 г. – 2646,1 тыс. рублей (федеральный бюджет);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 47 234,4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 0 тыс. рублей (областной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47 234,4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Подпрограмма «Музейное дело»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ВСЕГО: 22087,2 тыс. рублей, в том числе: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6 843,4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632,2 тыс. рублей (областной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2026 г. – 3800,0 тыс. рублей (федеральный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 5 243,3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 162,5 тыс. рублей (областной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5 243,3 тыс. рублей (местный бюджет);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162,5 тыс. рублей (областной бюджет).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Подпрограмма «Реализация государственной национальной политики на территории Топкинского муниципального округа»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ВСЕГО: 44,5 тыс. рублей, в том числе: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 xml:space="preserve">2026 г. – 44,5 тыс. рублей; 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2027 г. – 0 тыс. рублей;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</w:rPr>
              <w:t>2028 г. – 0 тыс. рублей.</w:t>
            </w:r>
          </w:p>
          <w:p>
            <w:pPr>
              <w:pStyle w:val="Style27"/>
              <w:jc w:val="start"/>
              <w:rPr>
                <w:rFonts w:ascii="Nimbus Roman" w:hAnsi="Nimbus Roman" w:cs="Nimbus Roman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>Подпрограмма «Сохранение, использование и популяризация объектов культурного наследия Топкинского муниципального округа».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 xml:space="preserve">ВСЕГО: 1600,0 тыс. рублей, в том числе: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 xml:space="preserve">2026 г. – 800,0 тыс. рублей;  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>2027 г. – 800,0 тыс. рублей;</w:t>
            </w:r>
          </w:p>
          <w:p>
            <w:pPr>
              <w:pStyle w:val="Style27"/>
              <w:jc w:val="both"/>
              <w:rPr>
                <w:rFonts w:ascii="Nimbus Roman" w:hAnsi="Nimbus Roman" w:cs="Nimbus Roman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cs="Nimbus Roman" w:ascii="Nimbus Roman" w:hAnsi="Nimbus Roman"/>
                <w:color w:val="000000"/>
                <w:sz w:val="28"/>
                <w:szCs w:val="28"/>
                <w:shd w:fill="auto" w:val="clear"/>
              </w:rPr>
              <w:t>2028 г. – 0 тыс. рублей.</w:t>
            </w:r>
          </w:p>
        </w:tc>
      </w:tr>
    </w:tbl>
    <w:p>
      <w:pPr>
        <w:pStyle w:val="Normal"/>
        <w:numPr>
          <w:ilvl w:val="0"/>
          <w:numId w:val="0"/>
        </w:numPr>
        <w:ind w:firstLine="567" w:start="0" w:end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widowControl/>
        <w:tabs>
          <w:tab w:val="clear" w:pos="720"/>
          <w:tab w:val="left" w:pos="1000" w:leader="none"/>
        </w:tabs>
        <w:suppressAutoHyphens w:val="true"/>
        <w:ind w:firstLine="567" w:start="0" w:end="0"/>
        <w:jc w:val="both"/>
        <w:rPr/>
      </w:pPr>
      <w:r>
        <w:rPr>
          <w:rStyle w:val="Style6"/>
          <w:rFonts w:cs="Times New Roman" w:ascii="Times New Roman" w:hAnsi="Times New Roman"/>
          <w:color w:val="000000"/>
          <w:sz w:val="28"/>
          <w:szCs w:val="28"/>
        </w:rPr>
        <w:t>1.2. Раздел 4 муниципальной программы «Показатели муниципальной программы (МП)» дополнить строкой 5 следующего содержания:</w:t>
      </w:r>
    </w:p>
    <w:p>
      <w:pPr>
        <w:pStyle w:val="ConsPlusNormal"/>
        <w:widowControl/>
        <w:tabs>
          <w:tab w:val="clear" w:pos="720"/>
          <w:tab w:val="left" w:pos="1000" w:leader="none"/>
        </w:tabs>
        <w:ind w:hanging="0" w:start="0" w:end="0"/>
        <w:jc w:val="both"/>
        <w:rPr>
          <w:rStyle w:val="Style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907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49"/>
        <w:gridCol w:w="1009"/>
        <w:gridCol w:w="686"/>
        <w:gridCol w:w="740"/>
        <w:gridCol w:w="734"/>
        <w:gridCol w:w="635"/>
        <w:gridCol w:w="764"/>
        <w:gridCol w:w="662"/>
        <w:gridCol w:w="596"/>
        <w:gridCol w:w="1392"/>
        <w:gridCol w:w="1402"/>
      </w:tblGrid>
      <w:tr>
        <w:trPr/>
        <w:tc>
          <w:tcPr>
            <w:tcW w:w="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99" w:after="0"/>
              <w:ind w:hanging="0" w:start="0" w:end="57"/>
              <w:jc w:val="both"/>
              <w:rPr>
                <w:spacing w:val="-10"/>
                <w:sz w:val="22"/>
                <w:szCs w:val="22"/>
                <w:shd w:fill="auto" w:val="clear"/>
                <w:lang w:val="en-US" w:eastAsia="en-US"/>
              </w:rPr>
            </w:pPr>
            <w:r>
              <w:rPr>
                <w:spacing w:val="-10"/>
                <w:sz w:val="22"/>
                <w:szCs w:val="22"/>
                <w:shd w:fill="auto" w:val="clear"/>
                <w:lang w:val="en-US" w:eastAsia="en-US"/>
              </w:rPr>
              <w:t>5.</w:t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widowControl w:val="false"/>
              <w:rPr>
                <w:sz w:val="22"/>
                <w:szCs w:val="22"/>
                <w:shd w:fill="auto" w:val="clear"/>
                <w:lang w:val="en-US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«Процент ОКН, находящихся в удовлетворительном состоянии, от общего числа объектов»</w:t>
            </w:r>
          </w:p>
        </w:tc>
        <w:tc>
          <w:tcPr>
            <w:tcW w:w="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МП</w:t>
            </w:r>
          </w:p>
        </w:tc>
        <w:tc>
          <w:tcPr>
            <w:tcW w:w="7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Возрастающий</w:t>
            </w:r>
          </w:p>
        </w:tc>
        <w:tc>
          <w:tcPr>
            <w:tcW w:w="7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процент</w:t>
            </w:r>
          </w:p>
        </w:tc>
        <w:tc>
          <w:tcPr>
            <w:tcW w:w="6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71</w:t>
            </w:r>
          </w:p>
        </w:tc>
        <w:tc>
          <w:tcPr>
            <w:tcW w:w="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82</w:t>
            </w:r>
          </w:p>
        </w:tc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87</w:t>
            </w:r>
          </w:p>
        </w:tc>
        <w:tc>
          <w:tcPr>
            <w:tcW w:w="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91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138"/>
              <w:jc w:val="both"/>
              <w:rPr>
                <w:spacing w:val="-2"/>
                <w:sz w:val="22"/>
                <w:szCs w:val="22"/>
                <w:shd w:fill="auto" w:val="clear"/>
                <w:lang w:val="en-US" w:eastAsia="en-US"/>
              </w:rPr>
            </w:pPr>
            <w:r>
              <w:rPr>
                <w:spacing w:val="-2"/>
                <w:sz w:val="22"/>
                <w:szCs w:val="22"/>
                <w:shd w:fill="auto" w:val="clear"/>
                <w:lang w:val="en-US" w:eastAsia="en-US"/>
              </w:rPr>
              <w:t>Распоряжение Правительства РФ от 12.12.2025 № 3773-р “Об утверждении программы "Сохранение объектов культурного наследия народов Российской Федерации” на период 2025 - 2045 годов и плана мероприятий по ее реализации”</w:t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2"/>
              <w:ind w:start="3" w:end="133"/>
              <w:jc w:val="both"/>
              <w:rPr>
                <w:spacing w:val="-4"/>
                <w:sz w:val="22"/>
                <w:szCs w:val="22"/>
                <w:shd w:fill="auto" w:val="clear"/>
                <w:lang w:eastAsia="en-US"/>
              </w:rPr>
            </w:pPr>
            <w:r>
              <w:rPr>
                <w:spacing w:val="-4"/>
                <w:sz w:val="22"/>
                <w:szCs w:val="22"/>
                <w:shd w:fill="auto" w:val="clear"/>
                <w:lang w:eastAsia="en-US"/>
              </w:rPr>
              <w:t>Управление культуры, спорта и молодежной политики администрации Топкинского муниципального округа, КУМИ Топкинского муниципального округа,</w:t>
            </w:r>
          </w:p>
          <w:p>
            <w:pPr>
              <w:pStyle w:val="TableParagraph"/>
              <w:spacing w:lineRule="exact" w:line="252"/>
              <w:ind w:start="3" w:end="133"/>
              <w:jc w:val="both"/>
              <w:rPr>
                <w:spacing w:val="-4"/>
                <w:sz w:val="22"/>
                <w:szCs w:val="22"/>
                <w:shd w:fill="auto" w:val="clear"/>
                <w:lang w:eastAsia="en-US"/>
              </w:rPr>
            </w:pPr>
            <w:r>
              <w:rPr>
                <w:spacing w:val="-4"/>
                <w:sz w:val="22"/>
                <w:szCs w:val="22"/>
                <w:shd w:fill="auto" w:val="clear"/>
                <w:lang w:eastAsia="en-US"/>
              </w:rPr>
              <w:t>муниципальное бюджетное учреждение культуры «Топкинский исторический музей»</w:t>
            </w:r>
          </w:p>
        </w:tc>
      </w:tr>
    </w:tbl>
    <w:p>
      <w:pPr>
        <w:pStyle w:val="ConsPlusNormal"/>
        <w:widowControl/>
        <w:tabs>
          <w:tab w:val="clear" w:pos="720"/>
          <w:tab w:val="left" w:pos="1000" w:leader="none"/>
        </w:tabs>
        <w:suppressAutoHyphens w:val="true"/>
        <w:ind w:firstLine="567" w:start="0" w:end="0"/>
        <w:jc w:val="both"/>
        <w:rPr/>
      </w:pPr>
      <w:r>
        <w:rPr>
          <w:rStyle w:val="Style6"/>
          <w:rFonts w:cs="Times New Roman" w:ascii="Times New Roman" w:hAnsi="Times New Roman"/>
          <w:color w:val="000000"/>
          <w:sz w:val="28"/>
          <w:szCs w:val="28"/>
        </w:rPr>
        <w:t>1.3. Раздел 5 муниципальной программы «Структура муниципальной программы» дополнить строками 6. и 6.1 следующего содержания:</w:t>
      </w:r>
    </w:p>
    <w:p>
      <w:pPr>
        <w:pStyle w:val="ConsPlusNormal"/>
        <w:widowControl/>
        <w:tabs>
          <w:tab w:val="clear" w:pos="720"/>
          <w:tab w:val="left" w:pos="1000" w:leader="none"/>
        </w:tabs>
        <w:ind w:hanging="0" w:start="0" w:end="0"/>
        <w:jc w:val="both"/>
        <w:rPr>
          <w:rStyle w:val="Style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892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2"/>
        <w:gridCol w:w="3027"/>
        <w:gridCol w:w="34"/>
        <w:gridCol w:w="2676"/>
        <w:gridCol w:w="2459"/>
      </w:tblGrid>
      <w:tr>
        <w:trPr>
          <w:tblHeader w:val="true"/>
          <w:trHeight w:val="874" w:hRule="atLeast"/>
        </w:trPr>
        <w:tc>
          <w:tcPr>
            <w:tcW w:w="7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tabs>
                <w:tab w:val="clear" w:pos="720"/>
                <w:tab w:val="left" w:pos="13487" w:leader="none"/>
              </w:tabs>
              <w:suppressAutoHyphens w:val="true"/>
              <w:spacing w:before="0" w:after="0"/>
              <w:ind w:hanging="737" w:start="737" w:end="0"/>
              <w:contextualSpacing/>
              <w:jc w:val="center"/>
              <w:rPr>
                <w:rFonts w:ascii="Nimbus Roman" w:hAnsi="Nimbus Roman" w:eastAsia="Calibri" w:cs="Nimbus Roman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hd w:fill="auto" w:val="clear"/>
                <w:lang w:eastAsia="en-US"/>
              </w:rPr>
              <w:t>6.</w:t>
            </w:r>
          </w:p>
        </w:tc>
        <w:tc>
          <w:tcPr>
            <w:tcW w:w="81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shd w:fill="auto" w:val="clear"/>
              </w:rPr>
            </w:pPr>
            <w:r>
              <w:rPr>
                <w:rFonts w:cs="Nimbus Roman" w:ascii="Nimbus Roman" w:hAnsi="Nimbus Roman"/>
                <w:sz w:val="24"/>
                <w:szCs w:val="24"/>
                <w:shd w:fill="auto" w:val="clear"/>
              </w:rPr>
              <w:t xml:space="preserve">Комплекс процессных мероприятий «Сохранение, использование и популяризация объектов культурного наследия Топкинского муниципального округа» </w:t>
            </w:r>
            <w:r>
              <w:rPr>
                <w:rFonts w:eastAsia="Calibri" w:cs="Nimbus Roman" w:ascii="Nimbus Roman" w:hAnsi="Nimbus Roman"/>
                <w:color w:val="000000"/>
                <w:sz w:val="24"/>
                <w:szCs w:val="24"/>
                <w:shd w:fill="auto" w:val="clear"/>
                <w:lang w:eastAsia="en-US"/>
              </w:rPr>
              <w:t>(Приложение № 6 к муниципальной программе)</w:t>
            </w:r>
          </w:p>
        </w:tc>
      </w:tr>
      <w:tr>
        <w:trPr>
          <w:tblHeader w:val="true"/>
          <w:trHeight w:val="820" w:hRule="atLeast"/>
        </w:trPr>
        <w:tc>
          <w:tcPr>
            <w:tcW w:w="73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tabs>
                <w:tab w:val="clear" w:pos="720"/>
                <w:tab w:val="left" w:pos="13487" w:leader="none"/>
              </w:tabs>
              <w:suppressAutoHyphens w:val="true"/>
              <w:spacing w:before="0" w:after="0"/>
              <w:ind w:hanging="737" w:start="737" w:end="0"/>
              <w:contextualSpacing/>
              <w:jc w:val="center"/>
              <w:rPr>
                <w:rFonts w:ascii="Nimbus Roman" w:hAnsi="Nimbus Roman" w:eastAsia="Calibri" w:cs="Nimbus Roman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hd w:fill="auto" w:val="clear"/>
                <w:lang w:eastAsia="en-US"/>
              </w:rPr>
            </w:r>
          </w:p>
        </w:tc>
        <w:tc>
          <w:tcPr>
            <w:tcW w:w="3061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BodyText"/>
              <w:rPr>
                <w:rFonts w:ascii="Nimbus Roman" w:hAnsi="Nimbus Roman"/>
                <w:sz w:val="24"/>
                <w:szCs w:val="24"/>
                <w:shd w:fill="auto" w:val="clear"/>
              </w:rPr>
            </w:pPr>
            <w:r>
              <w:rPr>
                <w:rFonts w:ascii="Nimbus Roman" w:hAnsi="Nimbus Roman"/>
                <w:sz w:val="24"/>
                <w:szCs w:val="24"/>
                <w:shd w:fill="auto" w:val="clear"/>
              </w:rPr>
              <w:t>Ответственный исполнитель: 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51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jc w:val="center"/>
              <w:rPr>
                <w:rFonts w:ascii="Nimbus Roman" w:hAnsi="Nimbus Roman"/>
                <w:sz w:val="24"/>
                <w:szCs w:val="24"/>
                <w:shd w:fill="auto" w:val="clear"/>
              </w:rPr>
            </w:pPr>
            <w:r>
              <w:rPr>
                <w:rFonts w:ascii="Nimbus Roman" w:hAnsi="Nimbus Roman"/>
                <w:sz w:val="24"/>
                <w:szCs w:val="24"/>
                <w:shd w:fill="auto" w:val="clear"/>
              </w:rPr>
              <w:t>Срок реализации: 2026 – 2028 годы</w:t>
            </w:r>
          </w:p>
        </w:tc>
      </w:tr>
      <w:tr>
        <w:trPr>
          <w:trHeight w:val="874" w:hRule="atLeast"/>
        </w:trPr>
        <w:tc>
          <w:tcPr>
            <w:tcW w:w="73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tabs>
                <w:tab w:val="clear" w:pos="720"/>
                <w:tab w:val="left" w:pos="13487" w:leader="none"/>
              </w:tabs>
              <w:suppressAutoHyphens w:val="true"/>
              <w:spacing w:before="0" w:after="0"/>
              <w:ind w:hanging="624" w:start="737" w:end="0"/>
              <w:contextualSpacing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6.1.</w:t>
            </w:r>
          </w:p>
        </w:tc>
        <w:tc>
          <w:tcPr>
            <w:tcW w:w="302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Nimbus Roman" w:hAnsi="Nimbus Roman" w:cs="Nimbus Roman"/>
                <w:sz w:val="24"/>
                <w:szCs w:val="24"/>
                <w:shd w:fill="auto" w:val="clear"/>
              </w:rPr>
            </w:pPr>
            <w:r>
              <w:rPr>
                <w:rFonts w:cs="Nimbus Roman" w:ascii="Nimbus Roman" w:hAnsi="Nimbus Roman"/>
                <w:sz w:val="24"/>
                <w:szCs w:val="24"/>
                <w:shd w:fill="auto" w:val="clear"/>
              </w:rPr>
              <w:t>Задача: «Увеличение количества ОКН в удовлетворительном состоянии к общему количеству ОКН»</w:t>
            </w:r>
          </w:p>
        </w:tc>
        <w:tc>
          <w:tcPr>
            <w:tcW w:w="271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hd w:fill="auto" w:val="clear"/>
              </w:rPr>
            </w:pPr>
            <w:r>
              <w:rPr>
                <w:rFonts w:eastAsia="Calibri" w:cs="Nimbus Roman" w:ascii="Nimbus Roman" w:hAnsi="Nimbus Roman"/>
                <w:color w:val="000000"/>
                <w:sz w:val="24"/>
                <w:szCs w:val="24"/>
                <w:shd w:fill="auto" w:val="clear"/>
                <w:lang w:eastAsia="en-US"/>
              </w:rPr>
              <w:t xml:space="preserve">Предотвращение утраты уникальных  художественных особенностей объектов, сохранение их аутентичности и исторической достоверности, </w:t>
            </w:r>
            <w:r>
              <w:rPr>
                <w:rFonts w:cs="Nimbus Roman" w:ascii="Nimbus Roman" w:hAnsi="Nimbus Roman"/>
                <w:sz w:val="24"/>
                <w:szCs w:val="24"/>
                <w:shd w:fill="auto" w:val="clear"/>
              </w:rPr>
              <w:t>формирование новых экскурсионных маршрутов, увеличение туристического потока.</w:t>
            </w:r>
          </w:p>
        </w:tc>
        <w:tc>
          <w:tcPr>
            <w:tcW w:w="24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tabs>
                <w:tab w:val="clear" w:pos="720"/>
                <w:tab w:val="left" w:pos="12750" w:leader="none"/>
              </w:tabs>
              <w:ind w:hanging="0" w:start="0" w:end="0"/>
              <w:rPr>
                <w:rFonts w:ascii="Nimbus Roman" w:hAnsi="Nimbus Roman" w:eastAsia="Calibri" w:cs="Nimbus Roman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color w:val="000000"/>
                <w:sz w:val="24"/>
                <w:szCs w:val="24"/>
                <w:shd w:fill="auto" w:val="clear"/>
                <w:lang w:eastAsia="en-US"/>
              </w:rPr>
              <w:t>Уровень удовлетворенности граждан работой учреждений культуры, искусства и народного творчества</w:t>
            </w:r>
          </w:p>
        </w:tc>
      </w:tr>
    </w:tbl>
    <w:p>
      <w:pPr>
        <w:pStyle w:val="ConsPlusNormal"/>
        <w:widowControl/>
        <w:tabs>
          <w:tab w:val="clear" w:pos="720"/>
          <w:tab w:val="left" w:pos="563" w:leader="none"/>
          <w:tab w:val="left" w:pos="1000" w:leader="none"/>
        </w:tabs>
        <w:suppressAutoHyphens w:val="true"/>
        <w:ind w:firstLine="567" w:start="0" w:end="0"/>
        <w:jc w:val="both"/>
        <w:rPr/>
      </w:pPr>
      <w:r>
        <w:rPr>
          <w:rStyle w:val="Style6"/>
          <w:rFonts w:cs="Times New Roman" w:ascii="Times New Roman" w:hAnsi="Times New Roman"/>
          <w:color w:val="000000"/>
          <w:sz w:val="28"/>
          <w:szCs w:val="28"/>
        </w:rPr>
        <w:t>1.4. Раздел 6 муниципальной программы «Финансовое обеспечение муниципальной программы» дополнить строкой 1.6 следующего содержания:</w:t>
      </w:r>
    </w:p>
    <w:p>
      <w:pPr>
        <w:pStyle w:val="ConsPlusNormal"/>
        <w:widowControl/>
        <w:tabs>
          <w:tab w:val="clear" w:pos="720"/>
          <w:tab w:val="left" w:pos="1000" w:leader="none"/>
        </w:tabs>
        <w:ind w:hanging="0" w:start="0" w:end="0"/>
        <w:jc w:val="both"/>
        <w:rPr>
          <w:rStyle w:val="Style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8953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3684"/>
        <w:gridCol w:w="1378"/>
        <w:gridCol w:w="1341"/>
        <w:gridCol w:w="1256"/>
        <w:gridCol w:w="1294"/>
      </w:tblGrid>
      <w:tr>
        <w:trPr>
          <w:trHeight w:val="297" w:hRule="atLeast"/>
        </w:trPr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pacing w:before="0" w:after="0"/>
              <w:rPr>
                <w:shd w:fill="auto" w:val="clear"/>
              </w:rPr>
            </w:pPr>
            <w:r>
              <w:rPr>
                <w:b/>
                <w:iCs/>
                <w:shd w:fill="auto" w:val="clear"/>
              </w:rPr>
              <w:t>1.6. Структурный</w:t>
            </w:r>
            <w:r>
              <w:rPr>
                <w:b/>
                <w:iCs/>
                <w:spacing w:val="-4"/>
                <w:shd w:fill="auto" w:val="clear"/>
              </w:rPr>
              <w:t xml:space="preserve"> </w:t>
            </w:r>
            <w:r>
              <w:rPr>
                <w:b/>
                <w:iCs/>
                <w:shd w:fill="auto" w:val="clear"/>
              </w:rPr>
              <w:t>элемент</w:t>
            </w:r>
            <w:r>
              <w:rPr>
                <w:rFonts w:cs="Nimbus Roman" w:ascii="Nimbus Roman" w:hAnsi="Nimbus Roman"/>
                <w:b/>
                <w:bCs/>
                <w:iCs/>
                <w:spacing w:val="-5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Nimbus Roman" w:ascii="Nimbus Roman" w:hAnsi="Nimbus Roman"/>
                <w:b/>
                <w:bCs/>
                <w:iCs/>
                <w:color w:val="000000"/>
                <w:sz w:val="20"/>
                <w:szCs w:val="20"/>
                <w:shd w:fill="auto" w:val="clear"/>
              </w:rPr>
              <w:t>«Сохранение, использование и популяризация объектов культурного наследия Топкинского муниципального округа»</w:t>
            </w:r>
            <w:r>
              <w:rPr>
                <w:b/>
                <w:iCs/>
                <w:spacing w:val="-3"/>
                <w:shd w:fill="auto" w:val="clear"/>
              </w:rPr>
              <w:t xml:space="preserve"> </w:t>
            </w:r>
            <w:r>
              <w:rPr>
                <w:b/>
                <w:iCs/>
                <w:shd w:fill="auto" w:val="clear"/>
              </w:rPr>
              <w:t>(всего),</w:t>
            </w:r>
          </w:p>
          <w:p>
            <w:pPr>
              <w:pStyle w:val="Normal"/>
              <w:overflowPunct w:val="true"/>
              <w:spacing w:before="0" w:after="0"/>
              <w:rPr>
                <w:shd w:fill="auto" w:val="clear"/>
              </w:rPr>
            </w:pPr>
            <w:r>
              <w:rPr>
                <w:b/>
                <w:iCs/>
                <w:spacing w:val="-4"/>
                <w:shd w:fill="auto" w:val="clear"/>
              </w:rPr>
              <w:t xml:space="preserve"> </w:t>
            </w:r>
            <w:r>
              <w:rPr>
                <w:b/>
                <w:iCs/>
                <w:shd w:fill="auto" w:val="clear"/>
              </w:rPr>
              <w:t>в</w:t>
            </w:r>
            <w:r>
              <w:rPr>
                <w:b/>
                <w:iCs/>
                <w:spacing w:val="-2"/>
                <w:shd w:fill="auto" w:val="clear"/>
              </w:rPr>
              <w:t xml:space="preserve"> </w:t>
            </w:r>
            <w:r>
              <w:rPr>
                <w:b/>
                <w:iCs/>
                <w:shd w:fill="auto" w:val="clear"/>
              </w:rPr>
              <w:t>том</w:t>
            </w:r>
            <w:r>
              <w:rPr>
                <w:b/>
                <w:iCs/>
                <w:spacing w:val="-1"/>
                <w:shd w:fill="auto" w:val="clear"/>
              </w:rPr>
              <w:t xml:space="preserve"> </w:t>
            </w:r>
            <w:r>
              <w:rPr>
                <w:b/>
                <w:iCs/>
                <w:shd w:fill="auto" w:val="clear"/>
              </w:rPr>
              <w:t>числе</w:t>
            </w:r>
          </w:p>
        </w:tc>
        <w:tc>
          <w:tcPr>
            <w:tcW w:w="1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2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368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pacing w:before="0" w:after="0"/>
              <w:rPr>
                <w:shd w:fill="auto" w:val="clear"/>
              </w:rPr>
            </w:pPr>
            <w:r>
              <w:rPr>
                <w:shd w:fill="auto" w:val="clear"/>
              </w:rPr>
              <w:t xml:space="preserve"> </w:t>
            </w:r>
            <w:r>
              <w:rPr>
                <w:shd w:fill="auto" w:val="clear"/>
              </w:rPr>
              <w:t>Местный бюджет</w:t>
            </w:r>
          </w:p>
        </w:tc>
        <w:tc>
          <w:tcPr>
            <w:tcW w:w="13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3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2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29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368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pacing w:before="0" w:after="0"/>
              <w:rPr>
                <w:shd w:fill="auto" w:val="clear"/>
              </w:rPr>
            </w:pPr>
            <w:r>
              <w:rPr>
                <w:shd w:fill="auto" w:val="clear"/>
              </w:rPr>
              <w:t xml:space="preserve"> </w:t>
            </w:r>
            <w:r>
              <w:rPr>
                <w:shd w:fill="auto" w:val="clear"/>
              </w:rPr>
              <w:t>Областной</w:t>
            </w:r>
            <w:r>
              <w:rPr>
                <w:spacing w:val="-4"/>
                <w:shd w:fill="auto" w:val="clear"/>
              </w:rPr>
              <w:t xml:space="preserve"> </w:t>
            </w:r>
            <w:r>
              <w:rPr>
                <w:shd w:fill="auto" w:val="clear"/>
              </w:rPr>
              <w:t>бюджет</w:t>
            </w:r>
          </w:p>
        </w:tc>
        <w:tc>
          <w:tcPr>
            <w:tcW w:w="13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3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2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  <w:tc>
          <w:tcPr>
            <w:tcW w:w="129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jc w:val="center"/>
              <w:rPr>
                <w:shd w:fill="auto" w:val="clear"/>
              </w:rPr>
            </w:pPr>
            <w:r>
              <w:rPr>
                <w:shd w:fill="auto" w:val="clear"/>
              </w:rPr>
              <w:t>0</w:t>
            </w:r>
          </w:p>
        </w:tc>
      </w:tr>
    </w:tbl>
    <w:p>
      <w:pPr>
        <w:pStyle w:val="ConsPlusNormal"/>
        <w:widowControl/>
        <w:tabs>
          <w:tab w:val="clear" w:pos="720"/>
        </w:tabs>
        <w:suppressAutoHyphens w:val="true"/>
        <w:ind w:firstLine="567" w:start="0" w:end="0"/>
        <w:jc w:val="both"/>
        <w:rPr/>
      </w:pPr>
      <w:r>
        <w:rPr>
          <w:rStyle w:val="Style6"/>
          <w:rFonts w:cs="Times New Roman" w:ascii="Times New Roman" w:hAnsi="Times New Roman"/>
          <w:color w:val="000000"/>
          <w:sz w:val="28"/>
          <w:szCs w:val="28"/>
        </w:rPr>
        <w:t xml:space="preserve">1.5. Муниципальную программу дополнить Приложением № 6 следующего содержания: </w:t>
      </w:r>
    </w:p>
    <w:p>
      <w:pPr>
        <w:pStyle w:val="ConsPlusNormal"/>
        <w:widowControl/>
        <w:tabs>
          <w:tab w:val="clear" w:pos="720"/>
        </w:tabs>
        <w:ind w:hanging="0" w:start="0" w:end="0"/>
        <w:jc w:val="both"/>
        <w:rPr>
          <w:rStyle w:val="Style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BodyText"/>
        <w:widowControl/>
        <w:tabs>
          <w:tab w:val="clear" w:pos="720"/>
        </w:tabs>
        <w:spacing w:lineRule="auto" w:line="240"/>
        <w:ind w:hanging="0" w:start="0" w:end="0"/>
        <w:jc w:val="end"/>
        <w:rPr/>
      </w:pPr>
      <w:r>
        <w:rPr>
          <w:rStyle w:val="Style6"/>
          <w:rFonts w:cs="Times New Roman"/>
          <w:b w:val="false"/>
          <w:bCs w:val="false"/>
          <w:color w:val="000000"/>
          <w:sz w:val="24"/>
          <w:szCs w:val="24"/>
        </w:rPr>
        <w:t>Приложение № 6</w:t>
      </w:r>
    </w:p>
    <w:p>
      <w:pPr>
        <w:pStyle w:val="BodyText"/>
        <w:spacing w:lineRule="auto" w:line="240" w:before="0" w:after="0"/>
        <w:ind w:firstLine="709" w:start="0" w:end="0"/>
        <w:jc w:val="end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к муниципальной программе «Культура</w:t>
      </w:r>
    </w:p>
    <w:p>
      <w:pPr>
        <w:pStyle w:val="BodyText"/>
        <w:spacing w:lineRule="auto" w:line="240" w:before="0" w:after="0"/>
        <w:ind w:firstLine="709" w:start="0" w:end="0"/>
        <w:jc w:val="end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Топкинского муниципального округа»</w:t>
      </w:r>
    </w:p>
    <w:p>
      <w:pPr>
        <w:pStyle w:val="BodyText"/>
        <w:spacing w:lineRule="auto" w:line="240" w:before="0" w:after="283"/>
        <w:ind w:firstLine="709" w:start="0" w:end="0"/>
        <w:jc w:val="end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на 2026-2028 годы</w:t>
      </w:r>
    </w:p>
    <w:p>
      <w:pPr>
        <w:pStyle w:val="ConsPlusNormal"/>
        <w:widowControl/>
        <w:tabs>
          <w:tab w:val="clear" w:pos="720"/>
        </w:tabs>
        <w:ind w:hanging="0" w:start="0" w:end="0"/>
        <w:jc w:val="both"/>
        <w:rPr>
          <w:rStyle w:val="Style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ListParagraph"/>
        <w:ind w:hanging="0" w:start="0" w:end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ПАСПОРТ</w:t>
      </w:r>
    </w:p>
    <w:p>
      <w:pPr>
        <w:pStyle w:val="Normal"/>
        <w:ind w:start="-142" w:end="0"/>
        <w:jc w:val="center"/>
        <w:rPr>
          <w:rFonts w:ascii="Nimbus Roman" w:hAnsi="Nimbus Roman" w:cs="Nimbus Roman"/>
          <w:b/>
          <w:sz w:val="28"/>
          <w:szCs w:val="28"/>
        </w:rPr>
      </w:pPr>
      <w:r>
        <w:rPr>
          <w:rFonts w:cs="Nimbus Roman" w:ascii="Nimbus Roman" w:hAnsi="Nimbus Roman"/>
          <w:b/>
          <w:sz w:val="28"/>
          <w:szCs w:val="28"/>
        </w:rPr>
        <w:t>комплекса процессных мероприятий «Сохранение, использование и популяризация объектов культурного наследия Топкинского муниципального округа»</w:t>
      </w:r>
    </w:p>
    <w:p>
      <w:pPr>
        <w:pStyle w:val="Normal"/>
        <w:ind w:start="-142" w:end="0"/>
        <w:jc w:val="center"/>
        <w:rPr>
          <w:rFonts w:ascii="Nimbus Roman" w:hAnsi="Nimbus Roman" w:cs="Nimbus Roman"/>
          <w:b/>
          <w:sz w:val="28"/>
          <w:szCs w:val="28"/>
        </w:rPr>
      </w:pPr>
      <w:r>
        <w:rPr>
          <w:rFonts w:cs="Nimbus Roman" w:ascii="Nimbus Roman" w:hAnsi="Nimbus Roman"/>
          <w:b/>
          <w:sz w:val="28"/>
          <w:szCs w:val="28"/>
        </w:rPr>
      </w:r>
    </w:p>
    <w:p>
      <w:pPr>
        <w:pStyle w:val="ListParagraph"/>
        <w:ind w:hanging="0" w:start="-142" w:end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1.Основные положения</w:t>
      </w:r>
    </w:p>
    <w:p>
      <w:pPr>
        <w:pStyle w:val="ListParagrap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92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913"/>
        <w:gridCol w:w="5015"/>
      </w:tblGrid>
      <w:tr>
        <w:trPr/>
        <w:tc>
          <w:tcPr>
            <w:tcW w:w="3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Ответственный исполнитель муниципальной программы (соисполнитель муниципальной программы)</w:t>
            </w:r>
          </w:p>
        </w:tc>
        <w:tc>
          <w:tcPr>
            <w:tcW w:w="5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</w:tr>
      <w:tr>
        <w:trPr/>
        <w:tc>
          <w:tcPr>
            <w:tcW w:w="3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Связь с муниципальной программой</w:t>
            </w:r>
          </w:p>
        </w:tc>
        <w:tc>
          <w:tcPr>
            <w:tcW w:w="5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MS Mincho;ＭＳ 明朝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>
              <w:rPr>
                <w:rFonts w:eastAsia="MS Mincho;ＭＳ 明朝"/>
                <w:iCs/>
                <w:spacing w:val="-2"/>
                <w:sz w:val="24"/>
                <w:szCs w:val="24"/>
                <w:lang w:val="x-none" w:eastAsia="ru-RU"/>
              </w:rPr>
              <w:t>«Культура Топкинского муниципального округа</w:t>
            </w:r>
            <w:r>
              <w:rPr>
                <w:rFonts w:eastAsia="MS Mincho;ＭＳ 明朝" w:cs="Times New Roman"/>
                <w:bCs/>
                <w:iCs/>
                <w:spacing w:val="-2"/>
                <w:sz w:val="24"/>
                <w:szCs w:val="24"/>
                <w:lang w:val="x-none" w:eastAsia="ru-RU"/>
              </w:rPr>
              <w:t>»</w:t>
            </w:r>
            <w:r>
              <w:rPr>
                <w:rFonts w:eastAsia="MS Mincho;ＭＳ 明朝"/>
                <w:iCs/>
                <w:spacing w:val="-2"/>
                <w:sz w:val="24"/>
                <w:szCs w:val="24"/>
                <w:lang w:val="x-none" w:eastAsia="ru-RU"/>
              </w:rPr>
              <w:t xml:space="preserve"> на 2026-2028 годы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start="502" w:end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start="502" w:end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start="502" w:end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Показатели комплекса процессных мероприятий</w:t>
      </w:r>
    </w:p>
    <w:p>
      <w:pPr>
        <w:pStyle w:val="ListParagraph"/>
        <w:ind w:hanging="0" w:start="26" w:end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92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8"/>
        <w:gridCol w:w="1301"/>
        <w:gridCol w:w="975"/>
        <w:gridCol w:w="733"/>
        <w:gridCol w:w="732"/>
        <w:gridCol w:w="569"/>
        <w:gridCol w:w="408"/>
        <w:gridCol w:w="709"/>
        <w:gridCol w:w="674"/>
        <w:gridCol w:w="894"/>
        <w:gridCol w:w="1624"/>
      </w:tblGrid>
      <w:tr>
        <w:trPr>
          <w:trHeight w:val="708" w:hRule="atLeast"/>
        </w:trPr>
        <w:tc>
          <w:tcPr>
            <w:tcW w:w="3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/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Наименование показателя/задачи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Признак возрастания/убывания</w:t>
            </w:r>
          </w:p>
        </w:tc>
        <w:tc>
          <w:tcPr>
            <w:tcW w:w="7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firstLine="109" w:start="-109" w:end="-10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Уровень показателя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Значение показателей по годам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Ответственный за достижение показателя (участник муниципальной программы)</w:t>
            </w:r>
          </w:p>
        </w:tc>
      </w:tr>
      <w:tr>
        <w:trPr>
          <w:trHeight w:val="276" w:hRule="atLeast"/>
        </w:trPr>
        <w:tc>
          <w:tcPr>
            <w:tcW w:w="3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102" w:start="0" w:end="-10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4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  <w:br/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89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6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0" w:hRule="atLeast"/>
        </w:trPr>
        <w:tc>
          <w:tcPr>
            <w:tcW w:w="3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9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619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jc w:val="start"/>
              <w:rPr>
                <w:rFonts w:ascii="Nimbus Roman" w:hAnsi="Nimbus Roman"/>
                <w:sz w:val="24"/>
                <w:szCs w:val="24"/>
                <w:shd w:fill="auto" w:val="clear"/>
              </w:rPr>
            </w:pPr>
            <w:r>
              <w:rPr>
                <w:rFonts w:ascii="Nimbus Roman" w:hAnsi="Nimbus Roman"/>
                <w:sz w:val="24"/>
                <w:szCs w:val="24"/>
                <w:shd w:fill="auto" w:val="clear"/>
              </w:rPr>
              <w:t xml:space="preserve">Задача: </w:t>
            </w:r>
            <w:r>
              <w:rPr>
                <w:rFonts w:cs="Arimo;arial" w:ascii="Nimbus Roman" w:hAnsi="Nimbus Roman"/>
                <w:sz w:val="24"/>
                <w:szCs w:val="24"/>
                <w:shd w:fill="auto" w:val="clear"/>
              </w:rPr>
              <w:t xml:space="preserve">«Сохранение, использование и популяризация объектов культурного наследия Топкинского муниципального округа». </w:t>
            </w:r>
          </w:p>
        </w:tc>
      </w:tr>
      <w:tr>
        <w:trPr/>
        <w:tc>
          <w:tcPr>
            <w:tcW w:w="3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13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«Увеличение количества ОКН в удовлетворительном состоянии к общему количеству ОКН»</w:t>
            </w:r>
          </w:p>
        </w:tc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-112" w:end="-11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Возрастающий</w:t>
            </w:r>
          </w:p>
        </w:tc>
        <w:tc>
          <w:tcPr>
            <w:tcW w:w="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МП</w:t>
            </w:r>
          </w:p>
        </w:tc>
        <w:tc>
          <w:tcPr>
            <w:tcW w:w="7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%</w:t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100%</w:t>
            </w:r>
          </w:p>
        </w:tc>
        <w:tc>
          <w:tcPr>
            <w:tcW w:w="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89,6%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89,6%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91%</w:t>
            </w:r>
          </w:p>
        </w:tc>
        <w:tc>
          <w:tcPr>
            <w:tcW w:w="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100%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bookmarkStart w:id="1" w:name="__DdeLink__1734_427268531"/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Управление культуры, спорта и молодежной политики администрации Топкинского муниципального округа</w:t>
            </w:r>
            <w:bookmarkEnd w:id="1"/>
          </w:p>
        </w:tc>
      </w:tr>
      <w:tr>
        <w:trPr/>
        <w:tc>
          <w:tcPr>
            <w:tcW w:w="3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13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snapToGrid w:val="false"/>
              <w:ind w:end="0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«Обеспечение  совокупного роста охвата целевой аудитории тематическими  материалами по вопросам сохранения ОКН (статьи, публикации в СМИ, брошюры, презентации), </w:t>
            </w:r>
          </w:p>
        </w:tc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Возрастающий</w:t>
            </w:r>
          </w:p>
        </w:tc>
        <w:tc>
          <w:tcPr>
            <w:tcW w:w="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МП</w:t>
            </w:r>
          </w:p>
        </w:tc>
        <w:tc>
          <w:tcPr>
            <w:tcW w:w="7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%</w:t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10%</w:t>
            </w:r>
          </w:p>
        </w:tc>
        <w:tc>
          <w:tcPr>
            <w:tcW w:w="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345 ед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380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418</w:t>
            </w:r>
          </w:p>
        </w:tc>
        <w:tc>
          <w:tcPr>
            <w:tcW w:w="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460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Муниципальное бюджетное учреждение культуры «Топкинский исторический музей»</w:t>
            </w:r>
          </w:p>
        </w:tc>
      </w:tr>
      <w:tr>
        <w:trPr/>
        <w:tc>
          <w:tcPr>
            <w:tcW w:w="3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13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/>
            </w:pPr>
            <w:r>
              <w:rPr>
                <w:rStyle w:val="Strong"/>
                <w:rFonts w:cs="Arimo;arial" w:ascii="Nimbus Roman" w:hAnsi="Nimbus Roman"/>
                <w:b w:val="false"/>
                <w:bCs w:val="false"/>
                <w:sz w:val="24"/>
                <w:szCs w:val="24"/>
                <w:shd w:fill="auto" w:val="clear"/>
              </w:rPr>
              <w:t>Ежегодный мониторинг технического состояния ОКН</w:t>
            </w:r>
          </w:p>
        </w:tc>
        <w:tc>
          <w:tcPr>
            <w:tcW w:w="9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постоянный</w:t>
            </w:r>
          </w:p>
        </w:tc>
        <w:tc>
          <w:tcPr>
            <w:tcW w:w="7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МП</w:t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ед</w:t>
            </w:r>
          </w:p>
        </w:tc>
        <w:tc>
          <w:tcPr>
            <w:tcW w:w="56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Кол-во ОКН</w:t>
            </w:r>
          </w:p>
        </w:tc>
        <w:tc>
          <w:tcPr>
            <w:tcW w:w="4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24</w:t>
            </w:r>
          </w:p>
        </w:tc>
        <w:tc>
          <w:tcPr>
            <w:tcW w:w="7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24</w:t>
            </w:r>
          </w:p>
        </w:tc>
        <w:tc>
          <w:tcPr>
            <w:tcW w:w="67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24</w:t>
            </w:r>
          </w:p>
        </w:tc>
        <w:tc>
          <w:tcPr>
            <w:tcW w:w="89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24</w:t>
            </w:r>
          </w:p>
        </w:tc>
        <w:tc>
          <w:tcPr>
            <w:tcW w:w="1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</w:tr>
    </w:tbl>
    <w:p>
      <w:pPr>
        <w:pStyle w:val="ListParagraph"/>
        <w:ind w:hanging="0" w:start="26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start="1222" w:end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start="1222" w:end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Перечень мероприятий (результатов) комплекса процессных мероприятий</w:t>
      </w:r>
    </w:p>
    <w:p>
      <w:pPr>
        <w:pStyle w:val="ListParagrap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897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13"/>
        <w:gridCol w:w="1315"/>
        <w:gridCol w:w="1235"/>
        <w:gridCol w:w="1648"/>
        <w:gridCol w:w="825"/>
        <w:gridCol w:w="691"/>
        <w:gridCol w:w="497"/>
        <w:gridCol w:w="654"/>
        <w:gridCol w:w="564"/>
        <w:gridCol w:w="1154"/>
      </w:tblGrid>
      <w:tr>
        <w:trPr>
          <w:trHeight w:val="708" w:hRule="atLeast"/>
        </w:trPr>
        <w:tc>
          <w:tcPr>
            <w:tcW w:w="31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/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Наименование мероприятия (результата)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Тип мероприятий (результата)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Характеристика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Единица измерения</w:t>
            </w:r>
          </w:p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(по ОКЕИ )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237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Значение показателей по годам</w:t>
            </w:r>
          </w:p>
        </w:tc>
      </w:tr>
      <w:tr>
        <w:trPr>
          <w:trHeight w:val="276" w:hRule="atLeast"/>
        </w:trPr>
        <w:tc>
          <w:tcPr>
            <w:tcW w:w="31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3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9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49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65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2028</w:t>
            </w:r>
          </w:p>
        </w:tc>
      </w:tr>
      <w:tr>
        <w:trPr>
          <w:trHeight w:val="70" w:hRule="atLeast"/>
        </w:trPr>
        <w:tc>
          <w:tcPr>
            <w:tcW w:w="31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3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9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9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rPr>
                <w:rFonts w:ascii="Calibri" w:hAnsi="Calibri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eastAsia="en-US"/>
              </w:rPr>
            </w:r>
          </w:p>
        </w:tc>
        <w:tc>
          <w:tcPr>
            <w:tcW w:w="56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rPr>
                <w:rFonts w:ascii="Calibri" w:hAnsi="Calibri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eastAsia="en-US"/>
              </w:rPr>
            </w:r>
          </w:p>
        </w:tc>
        <w:tc>
          <w:tcPr>
            <w:tcW w:w="11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rPr>
                <w:rFonts w:ascii="Calibri" w:hAnsi="Calibri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889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/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 xml:space="preserve">1.Задача </w:t>
            </w:r>
            <w:r>
              <w:rPr>
                <w:rStyle w:val="Strong"/>
                <w:rFonts w:eastAsia="Calibri" w:cs="Nimbus Roman" w:ascii="Nimbus Roman" w:hAnsi="Nimbus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en-US"/>
              </w:rPr>
              <w:t>«Вовлечение объектов культурного наследия в хозяйственный оборот с сохранением их историко-культурной ценности»</w:t>
            </w:r>
          </w:p>
        </w:tc>
      </w:tr>
      <w:tr>
        <w:trPr/>
        <w:tc>
          <w:tcPr>
            <w:tcW w:w="3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suppressAutoHyphens w:val="true"/>
              <w:overflowPunct w:val="false"/>
              <w:bidi w:val="0"/>
              <w:spacing w:before="0" w:after="0"/>
              <w:ind w:hanging="0" w:start="-57" w:end="0"/>
              <w:contextualSpacing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1.1.</w:t>
            </w:r>
          </w:p>
        </w:tc>
        <w:tc>
          <w:tcPr>
            <w:tcW w:w="13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/>
            </w:pPr>
            <w:r>
              <w:rPr>
                <w:rFonts w:eastAsia="Calibri" w:cs="Nimbus Roman" w:ascii="Nimbus Roman" w:hAnsi="Nimbus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Выявление и п</w:t>
            </w:r>
            <w:r>
              <w:rPr>
                <w:rStyle w:val="Strong"/>
                <w:rFonts w:eastAsia="Calibri" w:cs="Nimbus Roman" w:ascii="Nimbus Roman" w:hAnsi="Nimbus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риспособление ОКН для современного использования</w:t>
            </w:r>
            <w:r>
              <w:rPr>
                <w:rFonts w:eastAsia="Calibri" w:cs="Nimbus Roman" w:ascii="Nimbus Roman" w:hAnsi="Nimbus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 xml:space="preserve"> , у</w:t>
            </w:r>
            <w:r>
              <w:rPr>
                <w:rStyle w:val="Strong"/>
                <w:rFonts w:eastAsia="Calibri" w:cs="Nimbus Roman" w:ascii="Nimbus Roman" w:hAnsi="Nimbus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частие в региональных и федеральных программах</w:t>
            </w:r>
            <w:r>
              <w:rPr>
                <w:rFonts w:eastAsia="Calibri" w:cs="Nimbus Roman" w:ascii="Nimbus Roman" w:hAnsi="Nimbus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 xml:space="preserve"> (в т. ч. программа «Дом за рубль», субсидии, льготное кредитование). </w:t>
            </w:r>
          </w:p>
        </w:tc>
        <w:tc>
          <w:tcPr>
            <w:tcW w:w="1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Оказание услуг (выполнение работ)</w:t>
            </w:r>
          </w:p>
        </w:tc>
        <w:tc>
          <w:tcPr>
            <w:tcW w:w="1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Комплекс мероприятий,направленный на повышение инвестиционной привлекательности ОКН, с целью вовлечения их в хозяйственный оборот</w:t>
            </w:r>
          </w:p>
        </w:tc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единица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5</w:t>
            </w:r>
          </w:p>
        </w:tc>
        <w:tc>
          <w:tcPr>
            <w:tcW w:w="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2025</w:t>
            </w:r>
          </w:p>
        </w:tc>
        <w:tc>
          <w:tcPr>
            <w:tcW w:w="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8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11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14</w:t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start="1222" w:end="0"/>
        <w:jc w:val="center"/>
        <w:rPr>
          <w:b/>
          <w:bCs/>
          <w:sz w:val="24"/>
          <w:szCs w:val="24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4. Финансовое обеспечение комплекса процессных мероприятий</w:t>
      </w:r>
    </w:p>
    <w:tbl>
      <w:tblPr>
        <w:tblW w:w="5000" w:type="pct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41"/>
        <w:gridCol w:w="1077"/>
        <w:gridCol w:w="841"/>
        <w:gridCol w:w="988"/>
        <w:gridCol w:w="1382"/>
      </w:tblGrid>
      <w:tr>
        <w:trPr>
          <w:trHeight w:val="317" w:hRule="atLeast"/>
        </w:trPr>
        <w:tc>
          <w:tcPr>
            <w:tcW w:w="464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firstLine="120" w:start="-12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Наименование мероприятия (результата)/</w:t>
            </w:r>
          </w:p>
          <w:p>
            <w:pPr>
              <w:pStyle w:val="ListParagraph"/>
              <w:ind w:firstLine="120" w:start="-120" w:end="0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источник  финансового обеспечения</w:t>
            </w:r>
          </w:p>
        </w:tc>
        <w:tc>
          <w:tcPr>
            <w:tcW w:w="428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-60" w:end="0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Объем финансового обеспечения по годам реализации, тыс.рублей</w:t>
            </w:r>
          </w:p>
        </w:tc>
      </w:tr>
      <w:tr>
        <w:trPr>
          <w:trHeight w:val="317" w:hRule="atLeast"/>
        </w:trPr>
        <w:tc>
          <w:tcPr>
            <w:tcW w:w="464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hanging="0" w:start="113" w:end="0"/>
              <w:contextualSpacing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suppressAutoHyphens w:val="true"/>
              <w:spacing w:before="0" w:after="0"/>
              <w:ind w:hanging="0" w:start="57" w:end="0"/>
              <w:contextualSpacing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2027</w:t>
            </w:r>
          </w:p>
        </w:tc>
        <w:tc>
          <w:tcPr>
            <w:tcW w:w="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suppressAutoHyphens w:val="true"/>
              <w:spacing w:before="0" w:after="0"/>
              <w:ind w:hanging="0" w:start="113" w:end="0"/>
              <w:contextualSpacing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2028</w:t>
            </w:r>
          </w:p>
        </w:tc>
        <w:tc>
          <w:tcPr>
            <w:tcW w:w="1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suppressAutoHyphens w:val="true"/>
              <w:spacing w:before="0" w:after="0"/>
              <w:ind w:hanging="0" w:start="113" w:end="113"/>
              <w:contextualSpacing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Всего</w:t>
            </w:r>
          </w:p>
        </w:tc>
      </w:tr>
      <w:tr>
        <w:trPr>
          <w:trHeight w:val="1488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ascii="Nimbus Roman" w:hAnsi="Nimbus Roman" w:eastAsia="Calibri" w:cs="Nimbus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Комплекс процессных мероприятий «Сохранение, использование и популяризация объектов культурного наследия Топкинского муниципального округа»</w:t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Местный бюджет</w:t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Областной бюджет</w:t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8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napToGrid w:val="false"/>
              <w:ind w:hanging="0" w:start="0" w:end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</w:tr>
    </w:tbl>
    <w:p>
      <w:pPr>
        <w:pStyle w:val="ListParagraph"/>
        <w:ind w:hanging="0" w:start="502" w:end="0"/>
        <w:rPr>
          <w:sz w:val="24"/>
          <w:szCs w:val="24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ListParagraph"/>
        <w:ind w:hanging="0" w:start="1222" w:end="0"/>
        <w:jc w:val="center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5.План реализации комплекса процессных мероприятий</w:t>
      </w:r>
    </w:p>
    <w:tbl>
      <w:tblPr>
        <w:tblW w:w="892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00"/>
        <w:gridCol w:w="1390"/>
        <w:gridCol w:w="2260"/>
        <w:gridCol w:w="1978"/>
      </w:tblGrid>
      <w:tr>
        <w:trPr/>
        <w:tc>
          <w:tcPr>
            <w:tcW w:w="3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Задача, мероприятие (результат)/контрольная точка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2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Вид подтверждающего документа</w:t>
            </w:r>
          </w:p>
        </w:tc>
      </w:tr>
      <w:tr>
        <w:trPr/>
        <w:tc>
          <w:tcPr>
            <w:tcW w:w="892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Задача 1  «Обеспечение сохранности объектов культурного наследия»</w:t>
            </w:r>
          </w:p>
        </w:tc>
      </w:tr>
      <w:tr>
        <w:trPr/>
        <w:tc>
          <w:tcPr>
            <w:tcW w:w="3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Nimbus Roman" w:hAnsi="Nimbus Roman" w:cs="Nimbus Roman"/>
                <w:sz w:val="24"/>
                <w:szCs w:val="24"/>
                <w:shd w:fill="auto" w:val="clear"/>
              </w:rPr>
            </w:pPr>
            <w:r>
              <w:rPr>
                <w:rFonts w:cs="Nimbus Roman" w:ascii="Nimbus Roman" w:hAnsi="Nimbus Roman"/>
                <w:sz w:val="24"/>
                <w:szCs w:val="24"/>
                <w:shd w:fill="auto" w:val="clear"/>
              </w:rPr>
              <w:t>Инвентаризация, учёт и мониторинг состояния ОКН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Nimbus Roman" w:hAnsi="Nimbus Roman" w:eastAsia="Calibri" w:cs="Nimbus Roman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cs="Nimbus Roman" w:ascii="Nimbus Roman" w:hAnsi="Nimbus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2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Nimbus Roman" w:hAnsi="Nimbus Roman" w:cs="Nimbus Roman"/>
                <w:sz w:val="24"/>
                <w:szCs w:val="24"/>
                <w:shd w:fill="auto" w:val="clear"/>
              </w:rPr>
            </w:pPr>
            <w:r>
              <w:rPr>
                <w:rFonts w:cs="Nimbus Roman" w:ascii="Nimbus Roman" w:hAnsi="Nimbus Roman"/>
                <w:sz w:val="24"/>
                <w:szCs w:val="24"/>
                <w:shd w:fill="auto" w:val="clear"/>
              </w:rPr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Nimbus Roman" w:hAnsi="Nimbus Roman" w:cs="Nimbus Roman"/>
                <w:sz w:val="24"/>
                <w:szCs w:val="24"/>
                <w:shd w:fill="auto" w:val="clear"/>
              </w:rPr>
            </w:pPr>
            <w:r>
              <w:rPr>
                <w:rFonts w:cs="Nimbus Roman" w:ascii="Nimbus Roman" w:hAnsi="Nimbus Roman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3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Контрольная точка 1.1.</w:t>
            </w:r>
          </w:p>
          <w:p>
            <w:pPr>
              <w:pStyle w:val="Normal"/>
              <w:rPr/>
            </w:pPr>
            <w:r>
              <w:rPr>
                <w:rStyle w:val="Strong"/>
                <w:rFonts w:eastAsia="Calibri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Актуализация реестра ОКН.</w:t>
            </w:r>
            <w:r>
              <w:rPr>
                <w:rFonts w:eastAsia="Calibri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 xml:space="preserve"> (</w:t>
            </w: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 xml:space="preserve"> сверка данных с региональным органом охраны памятников, фиксирование статусов, (федеральный/региональный/местный), наличие охранных обязательств, границ территорий и зон охраны)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01.12.</w:t>
            </w:r>
          </w:p>
          <w:p>
            <w:pPr>
              <w:pStyle w:val="Normal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ежегодно</w:t>
            </w:r>
          </w:p>
        </w:tc>
        <w:tc>
          <w:tcPr>
            <w:tcW w:w="2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r>
          </w:p>
        </w:tc>
      </w:tr>
      <w:tr>
        <w:trPr/>
        <w:tc>
          <w:tcPr>
            <w:tcW w:w="3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Контрольная точка 1.2.</w:t>
            </w:r>
          </w:p>
          <w:p>
            <w:pPr>
              <w:pStyle w:val="Normal"/>
              <w:rPr/>
            </w:pPr>
            <w:r>
              <w:rPr>
                <w:rStyle w:val="Strong"/>
                <w:rFonts w:eastAsia="Calibri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Организация ежегодного мониторинга, пообъектное обследование технического  состояния ОКН</w:t>
            </w:r>
            <w:r>
              <w:rPr>
                <w:rFonts w:eastAsia="Calibri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 xml:space="preserve"> ( </w:t>
            </w: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проведение визуального осмотра и фотофиксации  ОКН с составлением актов технического состояния)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15.12.</w:t>
            </w:r>
          </w:p>
          <w:p>
            <w:pPr>
              <w:pStyle w:val="Normal"/>
              <w:jc w:val="center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ежегодно</w:t>
            </w:r>
          </w:p>
        </w:tc>
        <w:tc>
          <w:tcPr>
            <w:tcW w:w="2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r>
          </w:p>
        </w:tc>
      </w:tr>
      <w:tr>
        <w:trPr/>
        <w:tc>
          <w:tcPr>
            <w:tcW w:w="892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r>
          </w:p>
        </w:tc>
      </w:tr>
      <w:tr>
        <w:trPr/>
        <w:tc>
          <w:tcPr>
            <w:tcW w:w="33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 xml:space="preserve">Контрольная точка 2.1. </w:t>
            </w:r>
            <w:r>
              <w:rPr>
                <w:rFonts w:eastAsia="Calibri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К</w:t>
            </w:r>
            <w:r>
              <w:rPr>
                <w:rStyle w:val="Strong"/>
                <w:b w:val="false"/>
                <w:bCs w:val="false"/>
                <w:sz w:val="24"/>
                <w:szCs w:val="24"/>
                <w:shd w:fill="auto" w:val="clear"/>
              </w:rPr>
              <w:t>онтроль исполнения охранных обязательств.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Провести разъяснительную работу с собственниками/пользователями, организовать проверки</w:t>
            </w:r>
          </w:p>
        </w:tc>
        <w:tc>
          <w:tcPr>
            <w:tcW w:w="13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15.11.</w:t>
            </w:r>
          </w:p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ежегодно</w:t>
            </w:r>
          </w:p>
        </w:tc>
        <w:tc>
          <w:tcPr>
            <w:tcW w:w="22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19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r>
          </w:p>
        </w:tc>
      </w:tr>
      <w:tr>
        <w:trPr/>
        <w:tc>
          <w:tcPr>
            <w:tcW w:w="33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 xml:space="preserve">Контрольная точка 2.2. </w:t>
            </w:r>
            <w:r>
              <w:rPr>
                <w:rStyle w:val="Strong"/>
                <w:rFonts w:eastAsia="Calibri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Благоустройство территорий ОКН</w:t>
            </w:r>
          </w:p>
        </w:tc>
        <w:tc>
          <w:tcPr>
            <w:tcW w:w="13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15.10.</w:t>
            </w:r>
          </w:p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ежегодно</w:t>
            </w:r>
          </w:p>
        </w:tc>
        <w:tc>
          <w:tcPr>
            <w:tcW w:w="22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ind w:hanging="0" w:start="0" w:end="0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19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tabs>
          <w:tab w:val="clear" w:pos="720"/>
          <w:tab w:val="left" w:pos="0" w:leader="none"/>
          <w:tab w:val="left" w:pos="993" w:leader="none"/>
        </w:tabs>
        <w:suppressAutoHyphens w:val="true"/>
        <w:ind w:firstLine="567" w:start="0" w:end="0"/>
        <w:jc w:val="both"/>
        <w:rPr/>
      </w:pPr>
      <w:r>
        <w:rPr>
          <w:sz w:val="28"/>
          <w:szCs w:val="28"/>
        </w:rPr>
        <w:t xml:space="preserve">2. Подпункт 1.1. пункта 1 постановления администрации Топкинского муниципального округа от 18.06.2026 № 1029-п «О внесении изменений в постановление </w:t>
      </w:r>
      <w:r>
        <w:rPr>
          <w:b w:val="false"/>
          <w:bCs w:val="false"/>
          <w:sz w:val="28"/>
          <w:szCs w:val="28"/>
        </w:rPr>
        <w:t>администрации Топкинского муниципального округа от 24.09.2025 № 1846-п «Об утверждении муниципальной программы «Культура Топкинского муниципального округа» на 2026 – 2028 годы»» признать утратившим силу.</w:t>
      </w:r>
    </w:p>
    <w:p>
      <w:pPr>
        <w:pStyle w:val="Normal"/>
        <w:tabs>
          <w:tab w:val="clear" w:pos="720"/>
          <w:tab w:val="left" w:pos="0" w:leader="none"/>
          <w:tab w:val="left" w:pos="993" w:leader="none"/>
        </w:tabs>
        <w:ind w:firstLine="709" w:start="0" w:end="0"/>
        <w:jc w:val="both"/>
        <w:rPr/>
      </w:pPr>
      <w:r>
        <w:rPr>
          <w:sz w:val="28"/>
          <w:szCs w:val="28"/>
        </w:rPr>
        <w:t>3.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tabs>
          <w:tab w:val="clear" w:pos="720"/>
          <w:tab w:val="left" w:pos="0" w:leader="none"/>
          <w:tab w:val="left" w:pos="993" w:leader="none"/>
        </w:tabs>
        <w:ind w:firstLine="709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>
      <w:pPr>
        <w:pStyle w:val="Normal"/>
        <w:keepNext w:val="true"/>
        <w:widowControl w:val="false"/>
        <w:tabs>
          <w:tab w:val="clear" w:pos="720"/>
          <w:tab w:val="left" w:pos="0" w:leader="none"/>
          <w:tab w:val="left" w:pos="993" w:leader="none"/>
        </w:tabs>
        <w:ind w:firstLine="709" w:start="0" w:end="0"/>
        <w:jc w:val="both"/>
        <w:rPr/>
      </w:pPr>
      <w:r>
        <w:rPr>
          <w:rStyle w:val="Style6"/>
          <w:color w:val="000000"/>
          <w:sz w:val="28"/>
          <w:szCs w:val="28"/>
          <w:shd w:fill="FFFFFF" w:val="clear"/>
        </w:rPr>
        <w:t>5</w:t>
      </w:r>
      <w:bookmarkStart w:id="2" w:name="__DdeLink__3_342621069"/>
      <w:r>
        <w:rPr>
          <w:rStyle w:val="Style6"/>
          <w:color w:val="000000"/>
          <w:sz w:val="28"/>
          <w:szCs w:val="28"/>
          <w:shd w:fill="FFFFFF" w:val="clear"/>
        </w:rPr>
        <w:t>. Постановление вступает в силу после официального обнародования.</w:t>
      </w:r>
      <w:bookmarkEnd w:id="2"/>
    </w:p>
    <w:p>
      <w:pPr>
        <w:pStyle w:val="Normal"/>
        <w:ind w:firstLine="709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Глава Топкинского</w:t>
      </w:r>
    </w:p>
    <w:p>
      <w:pPr>
        <w:pStyle w:val="Normal"/>
        <w:jc w:val="both"/>
        <w:rPr/>
      </w:pPr>
      <w:r>
        <w:rPr>
          <w:rStyle w:val="Style6"/>
          <w:sz w:val="28"/>
          <w:szCs w:val="28"/>
        </w:rPr>
        <w:t>муниципального округа                                                              С.В.Фролов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843" w:right="1134" w:gutter="0" w:header="720" w:top="777" w:footer="0" w:bottom="72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auto"/>
    <w:pitch w:val="default"/>
  </w:font>
  <w:font w:name="Wingdings">
    <w:charset w:val="01"/>
    <w:family w:val="auto"/>
    <w:pitch w:val="default"/>
  </w:font>
  <w:font w:name="Symbol">
    <w:charset w:val="01"/>
    <w:family w:val="roman"/>
    <w:pitch w:val="default"/>
  </w:font>
  <w:font w:name="Tahoma">
    <w:charset w:val="01"/>
    <w:family w:val="swiss"/>
    <w:pitch w:val="default"/>
  </w:font>
  <w:font w:name="Cambria">
    <w:charset w:val="01"/>
    <w:family w:val="roman"/>
    <w:pitch w:val="default"/>
  </w:font>
  <w:font w:name="Calibri Light">
    <w:charset w:val="01"/>
    <w:family w:val="swiss"/>
    <w:pitch w:val="default"/>
  </w:font>
  <w:font w:name="Arial">
    <w:charset w:val="01"/>
    <w:family w:val="swiss"/>
    <w:pitch w:val="default"/>
  </w:font>
  <w:font w:name="Verdana">
    <w:charset w:val="01"/>
    <w:family w:val="swiss"/>
    <w:pitch w:val="default"/>
  </w:font>
  <w:font w:name="Calibri">
    <w:charset w:val="01"/>
    <w:family w:val="swiss"/>
    <w:pitch w:val="default"/>
  </w:font>
  <w:font w:name="TimesDL">
    <w:altName w:val="Times New Roman"/>
    <w:charset w:val="01"/>
    <w:family w:val="roman"/>
    <w:pitch w:val="default"/>
  </w:font>
  <w:font w:name="Nimbus Roman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Style w:val="Style6"/>
        <w:lang w:eastAsia="ru-RU"/>
      </w:rPr>
    </w:pPr>
    <w:r>
      <w:rPr>
        <w:lang w:eastAsia="ru-RU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Style w:val="Style6"/>
        <w:lang w:eastAsia="ru-RU"/>
      </w:rPr>
    </w:pPr>
    <w:r>
      <w:rPr>
        <w:lang w:eastAsia="ru-RU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uppressAutoHyphens w:val="true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true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uppressAutoHyphens w:val="true"/>
      <w:jc w:val="end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uppressAutoHyphens w:val="true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suppressAutoHyphens w:val="true"/>
      <w:jc w:val="end"/>
      <w:outlineLvl w:val="4"/>
    </w:pPr>
    <w:rPr>
      <w:sz w:val="26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suppressAutoHyphens w:val="true"/>
      <w:jc w:val="center"/>
      <w:outlineLvl w:val="5"/>
    </w:pPr>
    <w:rPr>
      <w:sz w:val="26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suppressAutoHyphens w:val="true"/>
      <w:jc w:val="both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suppressAutoHyphens w:val="true"/>
      <w:outlineLvl w:val="7"/>
    </w:pPr>
    <w:rPr>
      <w:sz w:val="24"/>
    </w:rPr>
  </w:style>
  <w:style w:type="character" w:styleId="Style6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b/>
      <w:bCs/>
    </w:rPr>
  </w:style>
  <w:style w:type="character" w:styleId="WW8Num5z0">
    <w:name w:val="WW8Num5z0"/>
    <w:qFormat/>
    <w:rPr/>
  </w:style>
  <w:style w:type="character" w:styleId="WW8Num5z1">
    <w:name w:val="WW8Num5z1"/>
    <w:qFormat/>
    <w:rPr>
      <w:rFonts w:ascii="Times New Roman" w:hAnsi="Times New Roman" w:eastAsia="Times New Roman" w:cs="Times New Roman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eastAsia="Courier New" w:cs="Courier New"/>
    </w:rPr>
  </w:style>
  <w:style w:type="character" w:styleId="WW8Num11z2">
    <w:name w:val="WW8Num11z2"/>
    <w:qFormat/>
    <w:rPr>
      <w:rFonts w:ascii="Wingdings" w:hAnsi="Wingdings" w:eastAsia="Wingdings" w:cs="Wingdings"/>
    </w:rPr>
  </w:style>
  <w:style w:type="character" w:styleId="WW8Num11z3">
    <w:name w:val="WW8Num11z3"/>
    <w:qFormat/>
    <w:rPr>
      <w:rFonts w:ascii="Symbol" w:hAnsi="Symbol" w:eastAsia="Symbol" w:cs="Symbol"/>
    </w:rPr>
  </w:style>
  <w:style w:type="character" w:styleId="WW8Num12z0">
    <w:name w:val="WW8Num12z0"/>
    <w:qFormat/>
    <w:rPr>
      <w:rFonts w:ascii="Times New Roman" w:hAnsi="Times New Roman" w:eastAsia="Times New Roman" w:cs="Times New Roman"/>
    </w:rPr>
  </w:style>
  <w:style w:type="character" w:styleId="WW8Num12z1">
    <w:name w:val="WW8Num12z1"/>
    <w:qFormat/>
    <w:rPr>
      <w:rFonts w:ascii="Courier New" w:hAnsi="Courier New" w:eastAsia="Courier New" w:cs="Courier New"/>
    </w:rPr>
  </w:style>
  <w:style w:type="character" w:styleId="WW8Num12z2">
    <w:name w:val="WW8Num12z2"/>
    <w:qFormat/>
    <w:rPr>
      <w:rFonts w:ascii="Wingdings" w:hAnsi="Wingdings" w:eastAsia="Wingdings" w:cs="Wingdings"/>
    </w:rPr>
  </w:style>
  <w:style w:type="character" w:styleId="WW8Num12z3">
    <w:name w:val="WW8Num12z3"/>
    <w:qFormat/>
    <w:rPr>
      <w:rFonts w:ascii="Symbol" w:hAnsi="Symbol" w:eastAsia="Symbol" w:cs="Symbol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Wingdings" w:hAnsi="Wingdings" w:eastAsia="Wingdings" w:cs="Wingdings"/>
    </w:rPr>
  </w:style>
  <w:style w:type="character" w:styleId="WW8Num15z0">
    <w:name w:val="WW8Num15z0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>
      <w:rFonts w:ascii="Times New Roman" w:hAnsi="Times New Roman" w:eastAsia="Times New Roman" w:cs="Times New Roman"/>
    </w:rPr>
  </w:style>
  <w:style w:type="character" w:styleId="WW8Num19z0">
    <w:name w:val="WW8Num19z0"/>
    <w:qFormat/>
    <w:rPr>
      <w:rFonts w:cs="Times New Roman"/>
    </w:rPr>
  </w:style>
  <w:style w:type="character" w:styleId="WW8Num20z0">
    <w:name w:val="WW8Num20z0"/>
    <w:qFormat/>
    <w:rPr/>
  </w:style>
  <w:style w:type="character" w:styleId="WW8Num21z0">
    <w:name w:val="WW8Num21z0"/>
    <w:qFormat/>
    <w:rPr>
      <w:sz w:val="28"/>
      <w:szCs w:val="28"/>
    </w:rPr>
  </w:style>
  <w:style w:type="character" w:styleId="WW8Num21z1">
    <w:name w:val="WW8Num21z1"/>
    <w:qFormat/>
    <w:rPr/>
  </w:style>
  <w:style w:type="character" w:styleId="WW8Num22z0">
    <w:name w:val="WW8Num22z0"/>
    <w:qFormat/>
    <w:rPr>
      <w:rFonts w:ascii="Symbol" w:hAnsi="Symbol" w:eastAsia="Symbol" w:cs="Symbol"/>
    </w:rPr>
  </w:style>
  <w:style w:type="character" w:styleId="WW8Num22z1">
    <w:name w:val="WW8Num22z1"/>
    <w:qFormat/>
    <w:rPr>
      <w:rFonts w:ascii="Courier New" w:hAnsi="Courier New" w:eastAsia="Courier New" w:cs="Courier New"/>
    </w:rPr>
  </w:style>
  <w:style w:type="character" w:styleId="WW8Num22z2">
    <w:name w:val="WW8Num22z2"/>
    <w:qFormat/>
    <w:rPr>
      <w:rFonts w:ascii="Wingdings" w:hAnsi="Wingdings" w:eastAsia="Wingdings" w:cs="Wingdings"/>
    </w:rPr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6z0">
    <w:name w:val="WW8Num26z0"/>
    <w:qFormat/>
    <w:rPr>
      <w:b/>
      <w:bCs/>
    </w:rPr>
  </w:style>
  <w:style w:type="character" w:styleId="WW8Num27z0">
    <w:name w:val="WW8Num27z0"/>
    <w:qFormat/>
    <w:rPr/>
  </w:style>
  <w:style w:type="character" w:styleId="WW8Num28z0">
    <w:name w:val="WW8Num28z0"/>
    <w:qFormat/>
    <w:rPr/>
  </w:style>
  <w:style w:type="character" w:styleId="WW8Num30z0">
    <w:name w:val="WW8Num30z0"/>
    <w:qFormat/>
    <w:rPr/>
  </w:style>
  <w:style w:type="character" w:styleId="WW8Num31z0">
    <w:name w:val="WW8Num31z0"/>
    <w:qFormat/>
    <w:rPr>
      <w:b/>
      <w:bCs/>
    </w:rPr>
  </w:style>
  <w:style w:type="character" w:styleId="WW8Num32z0">
    <w:name w:val="WW8Num32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PageNumber">
    <w:name w:val="page number"/>
    <w:basedOn w:val="Style6"/>
    <w:rPr/>
  </w:style>
  <w:style w:type="character" w:styleId="FontStyle13">
    <w:name w:val="Font Style13"/>
    <w:qFormat/>
    <w:rPr>
      <w:rFonts w:ascii="Times New Roman" w:hAnsi="Times New Roman" w:eastAsia="Times New Roman" w:cs="Times New Roman"/>
      <w:sz w:val="26"/>
      <w:szCs w:val="26"/>
    </w:rPr>
  </w:style>
  <w:style w:type="character" w:styleId="FontStyle14">
    <w:name w:val="Font Style14"/>
    <w:qFormat/>
    <w:rPr>
      <w:rFonts w:ascii="Times New Roman" w:hAnsi="Times New Roman" w:eastAsia="Times New Roman" w:cs="Times New Roman"/>
      <w:sz w:val="26"/>
      <w:szCs w:val="26"/>
    </w:rPr>
  </w:style>
  <w:style w:type="character" w:styleId="FontStyle16">
    <w:name w:val="Font Style16"/>
    <w:qFormat/>
    <w:rPr>
      <w:rFonts w:ascii="Times New Roman" w:hAnsi="Times New Roman" w:eastAsia="Times New Roman" w:cs="Times New Roman"/>
      <w:spacing w:val="10"/>
      <w:sz w:val="24"/>
      <w:szCs w:val="24"/>
    </w:rPr>
  </w:style>
  <w:style w:type="character" w:styleId="Style7">
    <w:name w:val="Основной текст с отступом Знак"/>
    <w:qFormat/>
    <w:rPr>
      <w:sz w:val="28"/>
    </w:rPr>
  </w:style>
  <w:style w:type="character" w:styleId="1">
    <w:name w:val="Заголовок 1 Знак"/>
    <w:qFormat/>
    <w:rPr>
      <w:b/>
      <w:sz w:val="36"/>
    </w:rPr>
  </w:style>
  <w:style w:type="character" w:styleId="2">
    <w:name w:val="Заголовок 2 Знак"/>
    <w:qFormat/>
    <w:rPr>
      <w:sz w:val="28"/>
    </w:rPr>
  </w:style>
  <w:style w:type="character" w:styleId="3">
    <w:name w:val="Заголовок 3 Знак"/>
    <w:qFormat/>
    <w:rPr>
      <w:sz w:val="28"/>
    </w:rPr>
  </w:style>
  <w:style w:type="character" w:styleId="4">
    <w:name w:val="Заголовок 4 Знак"/>
    <w:qFormat/>
    <w:rPr>
      <w:sz w:val="28"/>
    </w:rPr>
  </w:style>
  <w:style w:type="character" w:styleId="5">
    <w:name w:val="Заголовок 5 Знак"/>
    <w:qFormat/>
    <w:rPr>
      <w:sz w:val="26"/>
    </w:rPr>
  </w:style>
  <w:style w:type="character" w:styleId="6">
    <w:name w:val="Заголовок 6 Знак"/>
    <w:qFormat/>
    <w:rPr>
      <w:sz w:val="26"/>
    </w:rPr>
  </w:style>
  <w:style w:type="character" w:styleId="7">
    <w:name w:val="Заголовок 7 Знак"/>
    <w:qFormat/>
    <w:rPr>
      <w:sz w:val="28"/>
    </w:rPr>
  </w:style>
  <w:style w:type="character" w:styleId="8">
    <w:name w:val="Заголовок 8 Знак"/>
    <w:qFormat/>
    <w:rPr>
      <w:sz w:val="24"/>
    </w:rPr>
  </w:style>
  <w:style w:type="character" w:styleId="Style8">
    <w:name w:val="Основной текст Знак"/>
    <w:qFormat/>
    <w:rPr>
      <w:sz w:val="28"/>
    </w:rPr>
  </w:style>
  <w:style w:type="character" w:styleId="Style9">
    <w:name w:val="Схема документа Знак"/>
    <w:qFormat/>
    <w:rPr>
      <w:rFonts w:ascii="Tahoma" w:hAnsi="Tahoma" w:eastAsia="Tahoma" w:cs="Tahoma"/>
      <w:shd w:fill="000080" w:val="clear"/>
    </w:rPr>
  </w:style>
  <w:style w:type="character" w:styleId="21">
    <w:name w:val="Основной текст с отступом 2 Знак"/>
    <w:qFormat/>
    <w:rPr>
      <w:sz w:val="28"/>
    </w:rPr>
  </w:style>
  <w:style w:type="character" w:styleId="31">
    <w:name w:val="Основной текст с отступом 3 Знак"/>
    <w:qFormat/>
    <w:rPr>
      <w:sz w:val="28"/>
    </w:rPr>
  </w:style>
  <w:style w:type="character" w:styleId="22">
    <w:name w:val="Основной текст 2 Знак"/>
    <w:qFormat/>
    <w:rPr>
      <w:sz w:val="28"/>
    </w:rPr>
  </w:style>
  <w:style w:type="character" w:styleId="Style10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yle11">
    <w:name w:val="Верхний колонтитул Знак"/>
    <w:qFormat/>
    <w:rPr/>
  </w:style>
  <w:style w:type="character" w:styleId="Style12">
    <w:name w:val="Абзац Знак"/>
    <w:qFormat/>
    <w:rPr>
      <w:rFonts w:eastAsia="Arial Unicode MS"/>
      <w:sz w:val="24"/>
      <w:szCs w:val="24"/>
    </w:rPr>
  </w:style>
  <w:style w:type="character" w:styleId="Style13">
    <w:name w:val="Нижний колонтитул Знак"/>
    <w:qFormat/>
    <w:rPr>
      <w:sz w:val="24"/>
      <w:szCs w:val="24"/>
    </w:rPr>
  </w:style>
  <w:style w:type="character" w:styleId="11">
    <w:name w:val="Нижний колонтитул Знак1"/>
    <w:basedOn w:val="Style6"/>
    <w:qFormat/>
    <w:rPr/>
  </w:style>
  <w:style w:type="character" w:styleId="Style14">
    <w:name w:val="Название Знак"/>
    <w:qFormat/>
    <w:rPr>
      <w:b/>
      <w:bCs/>
      <w:sz w:val="24"/>
      <w:szCs w:val="24"/>
    </w:rPr>
  </w:style>
  <w:style w:type="character" w:styleId="12">
    <w:name w:val="Название Знак1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TitleChar1">
    <w:name w:val="Title Char1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HTML">
    <w:name w:val="Стандартный HTML Знак"/>
    <w:qFormat/>
    <w:rPr>
      <w:rFonts w:ascii="Courier New" w:hAnsi="Courier New" w:eastAsia="Courier New" w:cs="Courier New"/>
    </w:rPr>
  </w:style>
  <w:style w:type="character" w:styleId="HTML1">
    <w:name w:val="Стандартный HTML Знак1"/>
    <w:qFormat/>
    <w:rPr>
      <w:rFonts w:ascii="Courier New" w:hAnsi="Courier New" w:eastAsia="Courier New" w:cs="Courier New"/>
    </w:rPr>
  </w:style>
  <w:style w:type="character" w:styleId="Hyperlink">
    <w:name w:val="Hyperlink"/>
    <w:rPr>
      <w:color w:val="0000FF"/>
      <w:u w:val="single"/>
    </w:rPr>
  </w:style>
  <w:style w:type="character" w:styleId="apple-style-span">
    <w:name w:val="apple-style-span"/>
    <w:qFormat/>
    <w:rPr/>
  </w:style>
  <w:style w:type="character" w:styleId="PointChar">
    <w:name w:val="Point Char"/>
    <w:qFormat/>
    <w:rPr>
      <w:sz w:val="24"/>
      <w:szCs w:val="24"/>
    </w:rPr>
  </w:style>
  <w:style w:type="character" w:styleId="blk3">
    <w:name w:val="blk3"/>
    <w:qFormat/>
    <w:rPr/>
  </w:style>
  <w:style w:type="character" w:styleId="Style15">
    <w:name w:val="Заголовок Знак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Strong">
    <w:name w:val="Strong"/>
    <w:qFormat/>
    <w:rPr>
      <w:rFonts w:cs="Times New Roman"/>
      <w:b/>
      <w:bCs/>
    </w:rPr>
  </w:style>
  <w:style w:type="paragraph" w:styleId="Style16">
    <w:name w:val="Заголовок"/>
    <w:basedOn w:val="Normal"/>
    <w:next w:val="Normal"/>
    <w:qFormat/>
    <w:pPr>
      <w:numPr>
        <w:ilvl w:val="0"/>
        <w:numId w:val="0"/>
      </w:numPr>
      <w:suppressAutoHyphens w:val="true"/>
      <w:spacing w:before="240" w:after="60"/>
      <w:jc w:val="center"/>
      <w:outlineLvl w:val="0"/>
    </w:pPr>
    <w:rPr>
      <w:b/>
      <w:bCs/>
      <w:sz w:val="24"/>
      <w:szCs w:val="24"/>
    </w:rPr>
  </w:style>
  <w:style w:type="paragraph" w:styleId="BodyText">
    <w:name w:val="Body Text"/>
    <w:basedOn w:val="Normal"/>
    <w:pPr>
      <w:suppressAutoHyphens w:val="true"/>
      <w:jc w:val="both"/>
    </w:pPr>
    <w:rPr>
      <w:sz w:val="28"/>
    </w:rPr>
  </w:style>
  <w:style w:type="paragraph" w:styleId="List">
    <w:name w:val="List"/>
    <w:basedOn w:val="BodyText"/>
    <w:pPr>
      <w:suppressAutoHyphens w:val="true"/>
    </w:pPr>
    <w:rPr>
      <w:rFonts w:ascii="PT Astra Serif" w:hAnsi="PT Astra Serif" w:eastAsia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  <w:suppressAutoHyphens w:val="true"/>
    </w:pPr>
    <w:rPr>
      <w:rFonts w:ascii="PT Astra Serif" w:hAnsi="PT Astra Serif" w:eastAsia="PT Astra Serif" w:cs="Noto Sans Devanagari"/>
    </w:rPr>
  </w:style>
  <w:style w:type="paragraph" w:styleId="Style18">
    <w:name w:val="Обычный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PT Astra Serif" w:hAnsi="PT Astra Serif" w:eastAsia="Tahoma" w:cs="Noto Sans Devanaga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Style19">
    <w:name w:val="Название объекта"/>
    <w:basedOn w:val="Normal"/>
    <w:next w:val="Normal"/>
    <w:qFormat/>
    <w:pPr>
      <w:suppressAutoHyphens w:val="true"/>
      <w:jc w:val="center"/>
    </w:pPr>
    <w:rPr>
      <w:sz w:val="28"/>
    </w:rPr>
  </w:style>
  <w:style w:type="paragraph" w:styleId="BodyTextIndent">
    <w:name w:val="Body Text Indent"/>
    <w:basedOn w:val="Normal"/>
    <w:pPr>
      <w:suppressAutoHyphens w:val="true"/>
      <w:ind w:firstLine="993" w:start="0" w:end="0"/>
      <w:jc w:val="both"/>
    </w:pPr>
    <w:rPr>
      <w:sz w:val="28"/>
    </w:rPr>
  </w:style>
  <w:style w:type="paragraph" w:styleId="Style20">
    <w:name w:val="Схема документа"/>
    <w:basedOn w:val="Normal"/>
    <w:qFormat/>
    <w:pPr>
      <w:shd w:val="clear" w:fill="000080"/>
      <w:suppressAutoHyphens w:val="true"/>
    </w:pPr>
    <w:rPr>
      <w:rFonts w:ascii="Tahoma" w:hAnsi="Tahoma" w:eastAsia="Tahoma" w:cs="Tahoma"/>
    </w:rPr>
  </w:style>
  <w:style w:type="paragraph" w:styleId="23">
    <w:name w:val="Основной текст с отступом 2"/>
    <w:basedOn w:val="Normal"/>
    <w:qFormat/>
    <w:pPr>
      <w:tabs>
        <w:tab w:val="clear" w:pos="720"/>
      </w:tabs>
      <w:suppressAutoHyphens w:val="true"/>
      <w:ind w:hanging="426" w:start="426" w:end="0"/>
    </w:pPr>
    <w:rPr>
      <w:sz w:val="28"/>
    </w:rPr>
  </w:style>
  <w:style w:type="paragraph" w:styleId="32">
    <w:name w:val="Основной текст с отступом 3"/>
    <w:basedOn w:val="Normal"/>
    <w:qFormat/>
    <w:pPr>
      <w:suppressAutoHyphens w:val="true"/>
      <w:ind w:firstLine="709" w:start="0" w:end="0"/>
      <w:jc w:val="both"/>
    </w:pPr>
    <w:rPr>
      <w:sz w:val="28"/>
    </w:rPr>
  </w:style>
  <w:style w:type="paragraph" w:styleId="24">
    <w:name w:val="Основной текст 2"/>
    <w:basedOn w:val="Normal"/>
    <w:qFormat/>
    <w:pPr>
      <w:suppressAutoHyphens w:val="true"/>
    </w:pPr>
    <w:rPr>
      <w:sz w:val="28"/>
    </w:rPr>
  </w:style>
  <w:style w:type="paragraph" w:styleId="Style21">
    <w:name w:val="Текст выноски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ind w:firstLine="720" w:start="0" w:end="0"/>
      <w:jc w:val="star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ar-SA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  <w:suppressAutoHyphens w:val="true"/>
    </w:pPr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  <w:suppressAutoHyphens w:val="true"/>
    </w:pPr>
    <w:rPr/>
  </w:style>
  <w:style w:type="paragraph" w:styleId="ConsPlusNonformat">
    <w:name w:val="ConsPlusNonformat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Courier New" w:hAnsi="Courier New" w:eastAsia="Times New Roman" w:cs="Courier New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ar-SA"/>
    </w:rPr>
  </w:style>
  <w:style w:type="paragraph" w:styleId="ConsPlusTitle">
    <w:name w:val="ConsPlusTitle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Arial" w:hAnsi="Arial" w:eastAsia="Times New Roman" w:cs="Arial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ar-SA"/>
    </w:rPr>
  </w:style>
  <w:style w:type="paragraph" w:styleId="Style81">
    <w:name w:val="Style8"/>
    <w:basedOn w:val="Normal"/>
    <w:qFormat/>
    <w:pPr>
      <w:widowControl w:val="false"/>
      <w:suppressAutoHyphens w:val="true"/>
      <w:spacing w:lineRule="exact" w:line="322"/>
      <w:ind w:firstLine="720" w:start="0" w:end="0"/>
      <w:jc w:val="both"/>
    </w:pPr>
    <w:rPr>
      <w:sz w:val="24"/>
      <w:szCs w:val="24"/>
    </w:rPr>
  </w:style>
  <w:style w:type="paragraph" w:styleId="p5">
    <w:name w:val="p5"/>
    <w:basedOn w:val="Normal"/>
    <w:qFormat/>
    <w:pPr>
      <w:suppressAutoHyphens w:val="true"/>
      <w:spacing w:before="100" w:after="100"/>
    </w:pPr>
    <w:rPr>
      <w:sz w:val="24"/>
      <w:szCs w:val="24"/>
    </w:rPr>
  </w:style>
  <w:style w:type="paragraph" w:styleId="13">
    <w:name w:val="1 Знак"/>
    <w:basedOn w:val="Normal"/>
    <w:qFormat/>
    <w:pPr>
      <w:tabs>
        <w:tab w:val="clear" w:pos="720"/>
        <w:tab w:val="left" w:pos="1440" w:leader="none"/>
      </w:tabs>
      <w:suppressAutoHyphens w:val="true"/>
      <w:spacing w:lineRule="exact" w:line="240" w:before="0" w:after="160"/>
      <w:ind w:hanging="720" w:start="720" w:end="0"/>
      <w:jc w:val="both"/>
    </w:pPr>
    <w:rPr>
      <w:rFonts w:ascii="Verdana" w:hAnsi="Verdana" w:eastAsia="Verdana" w:cs="Arial"/>
      <w:lang w:val="en-US"/>
    </w:rPr>
  </w:style>
  <w:style w:type="paragraph" w:styleId="msonormalcxspmiddle">
    <w:name w:val="msonormalcxspmiddle"/>
    <w:basedOn w:val="Normal"/>
    <w:qFormat/>
    <w:pPr>
      <w:suppressAutoHyphens w:val="true"/>
      <w:spacing w:before="100" w:after="100"/>
    </w:pPr>
    <w:rPr>
      <w:sz w:val="24"/>
      <w:szCs w:val="24"/>
    </w:rPr>
  </w:style>
  <w:style w:type="paragraph" w:styleId="ConsPlusCell">
    <w:name w:val="ConsPlusCel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ar-SA"/>
    </w:rPr>
  </w:style>
  <w:style w:type="paragraph" w:styleId="Style22">
    <w:name w:val="Абзац списка"/>
    <w:basedOn w:val="Normal"/>
    <w:qFormat/>
    <w:pPr>
      <w:tabs>
        <w:tab w:val="clear" w:pos="720"/>
      </w:tabs>
      <w:suppressAutoHyphens w:val="true"/>
      <w:ind w:hanging="0" w:start="720" w:end="0"/>
    </w:pPr>
    <w:rPr/>
  </w:style>
  <w:style w:type="paragraph" w:styleId="TableParagraph">
    <w:name w:val="Table Paragraph"/>
    <w:basedOn w:val="Normal"/>
    <w:qFormat/>
    <w:pPr>
      <w:widowControl w:val="false"/>
      <w:suppressAutoHyphens w:val="true"/>
    </w:pPr>
    <w:rPr>
      <w:sz w:val="22"/>
      <w:szCs w:val="22"/>
    </w:rPr>
  </w:style>
  <w:style w:type="paragraph" w:styleId="Style23">
    <w:name w:val="Абзац"/>
    <w:basedOn w:val="Normal"/>
    <w:qFormat/>
    <w:pPr>
      <w:suppressAutoHyphens w:val="true"/>
      <w:spacing w:before="120" w:after="60"/>
      <w:ind w:firstLine="567" w:start="0" w:end="0"/>
      <w:jc w:val="both"/>
    </w:pPr>
    <w:rPr>
      <w:rFonts w:eastAsia="Arial Unicode MS"/>
      <w:sz w:val="24"/>
      <w:szCs w:val="24"/>
    </w:rPr>
  </w:style>
  <w:style w:type="paragraph" w:styleId="Style24">
    <w:name w:val="Обычный (веб)"/>
    <w:basedOn w:val="Normal"/>
    <w:qFormat/>
    <w:pPr>
      <w:suppressAutoHyphens w:val="true"/>
      <w:spacing w:before="100" w:after="90"/>
    </w:pPr>
    <w:rPr>
      <w:sz w:val="18"/>
      <w:szCs w:val="18"/>
    </w:rPr>
  </w:style>
  <w:style w:type="paragraph" w:styleId="14">
    <w:name w:val="çàãîëîâîê 1"/>
    <w:basedOn w:val="Normal"/>
    <w:next w:val="Normal"/>
    <w:qFormat/>
    <w:pPr>
      <w:keepNext w:val="true"/>
      <w:suppressAutoHyphens w:val="true"/>
      <w:spacing w:before="120" w:after="0"/>
      <w:ind w:firstLine="720" w:start="0" w:end="0"/>
      <w:jc w:val="both"/>
    </w:pPr>
    <w:rPr>
      <w:rFonts w:ascii="Arial" w:hAnsi="Arial" w:eastAsia="Arial" w:cs="Arial"/>
      <w:sz w:val="32"/>
      <w:szCs w:val="32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  <w:suppressAutoHyphens w:val="true"/>
    </w:pPr>
    <w:rPr>
      <w:sz w:val="24"/>
      <w:szCs w:val="24"/>
    </w:rPr>
  </w:style>
  <w:style w:type="paragraph" w:styleId="HTML2">
    <w:name w:val="Стандартный HTML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Courier New" w:hAnsi="Courier New" w:eastAsia="Courier New" w:cs="Courier New"/>
    </w:rPr>
  </w:style>
  <w:style w:type="paragraph" w:styleId="ConsNonformat">
    <w:name w:val="ConsNonformat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ind w:hanging="0" w:start="0" w:end="19772"/>
      <w:jc w:val="start"/>
      <w:textAlignment w:val="baseline"/>
    </w:pPr>
    <w:rPr>
      <w:rFonts w:ascii="Courier New" w:hAnsi="Courier New" w:eastAsia="Times New Roman" w:cs="Courier New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ar-SA"/>
    </w:rPr>
  </w:style>
  <w:style w:type="paragraph" w:styleId="ConsTitle">
    <w:name w:val="ConsTitle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ind w:hanging="0" w:start="0" w:end="19772"/>
      <w:jc w:val="start"/>
      <w:textAlignment w:val="baseline"/>
    </w:pPr>
    <w:rPr>
      <w:rFonts w:ascii="Arial" w:hAnsi="Arial" w:eastAsia="Times New Roman" w:cs="Arial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16"/>
      <w:sz w:val="16"/>
      <w:szCs w:val="16"/>
      <w:u w:val="none"/>
      <w:shd w:fill="auto" w:val="clear"/>
      <w:vertAlign w:val="baseline"/>
      <w:em w:val="none"/>
      <w:lang w:val="ru-RU" w:eastAsia="zh-CN" w:bidi="ar-SA"/>
    </w:rPr>
  </w:style>
  <w:style w:type="paragraph" w:styleId="ConsPlusDocList">
    <w:name w:val="ConsPlusDocList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Courier New" w:hAnsi="Courier New" w:eastAsia="Times New Roman" w:cs="Courier New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ar-SA"/>
    </w:rPr>
  </w:style>
  <w:style w:type="paragraph" w:styleId="Style25">
    <w:name w:val="Без интервала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zh-CN" w:bidi="ar-SA"/>
    </w:rPr>
  </w:style>
  <w:style w:type="paragraph" w:styleId="ConsNormal">
    <w:name w:val="ConsNormal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ind w:firstLine="720" w:start="0" w:end="19772"/>
      <w:jc w:val="star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zh-CN" w:bidi="ar-SA"/>
    </w:rPr>
  </w:style>
  <w:style w:type="paragraph" w:styleId="BodyText22">
    <w:name w:val="Body Text 22"/>
    <w:basedOn w:val="Normal"/>
    <w:qFormat/>
    <w:pPr>
      <w:suppressAutoHyphens w:val="true"/>
      <w:ind w:firstLine="709" w:start="0" w:end="0"/>
      <w:jc w:val="both"/>
    </w:pPr>
    <w:rPr>
      <w:sz w:val="24"/>
      <w:szCs w:val="24"/>
    </w:rPr>
  </w:style>
  <w:style w:type="paragraph" w:styleId="Point">
    <w:name w:val="Point"/>
    <w:basedOn w:val="Normal"/>
    <w:qFormat/>
    <w:pPr>
      <w:suppressAutoHyphens w:val="true"/>
      <w:spacing w:lineRule="auto" w:line="288" w:before="120" w:after="0"/>
      <w:ind w:firstLine="720" w:start="0" w:end="0"/>
      <w:jc w:val="both"/>
    </w:pPr>
    <w:rPr>
      <w:sz w:val="24"/>
      <w:szCs w:val="24"/>
    </w:rPr>
  </w:style>
  <w:style w:type="paragraph" w:styleId="Style26">
    <w:name w:val="Знак"/>
    <w:basedOn w:val="Normal"/>
    <w:qFormat/>
    <w:pPr>
      <w:suppressAutoHyphens w:val="true"/>
      <w:spacing w:lineRule="exact" w:line="240" w:before="0" w:after="160"/>
    </w:pPr>
    <w:rPr>
      <w:rFonts w:ascii="Verdana" w:hAnsi="Verdana" w:eastAsia="Verdana" w:cs="Verdana"/>
      <w:lang w:val="en-US"/>
    </w:rPr>
  </w:style>
  <w:style w:type="paragraph" w:styleId="msolistparagraph">
    <w:name w:val="msolistparagraph"/>
    <w:basedOn w:val="Normal"/>
    <w:qFormat/>
    <w:pPr>
      <w:tabs>
        <w:tab w:val="clear" w:pos="720"/>
      </w:tabs>
      <w:suppressAutoHyphens w:val="true"/>
      <w:spacing w:lineRule="auto" w:line="276" w:before="0" w:after="200"/>
      <w:ind w:hanging="0" w:start="720" w:end="0"/>
    </w:pPr>
    <w:rPr>
      <w:rFonts w:ascii="Calibri" w:hAnsi="Calibri" w:eastAsia="Calibri" w:cs="Calibri"/>
      <w:sz w:val="22"/>
      <w:szCs w:val="22"/>
    </w:rPr>
  </w:style>
  <w:style w:type="paragraph" w:styleId="msonormalcxsplast">
    <w:name w:val="msonormalcxsplast"/>
    <w:basedOn w:val="Normal"/>
    <w:qFormat/>
    <w:pPr>
      <w:suppressAutoHyphens w:val="true"/>
      <w:spacing w:before="100" w:after="100"/>
    </w:pPr>
    <w:rPr>
      <w:sz w:val="24"/>
      <w:szCs w:val="24"/>
    </w:rPr>
  </w:style>
  <w:style w:type="paragraph" w:styleId="211">
    <w:name w:val="Основной текст 21"/>
    <w:basedOn w:val="Normal"/>
    <w:qFormat/>
    <w:pPr>
      <w:suppressAutoHyphens w:val="true"/>
      <w:spacing w:before="120" w:after="0"/>
      <w:ind w:firstLine="567" w:start="0" w:end="0"/>
      <w:jc w:val="both"/>
    </w:pPr>
    <w:rPr>
      <w:rFonts w:ascii="TimesDL;Times New Roman" w:hAnsi="TimesDL;Times New Roman" w:eastAsia="TimesDL;Times New Roman" w:cs="TimesDL;Times New Roman"/>
      <w:sz w:val="24"/>
      <w:szCs w:val="24"/>
    </w:rPr>
  </w:style>
  <w:style w:type="paragraph" w:styleId="Style51">
    <w:name w:val="Style5"/>
    <w:basedOn w:val="Normal"/>
    <w:qFormat/>
    <w:pPr>
      <w:widowControl w:val="false"/>
      <w:suppressAutoHyphens w:val="true"/>
      <w:spacing w:lineRule="exact" w:line="307"/>
      <w:ind w:firstLine="2232" w:start="0" w:end="0"/>
    </w:pPr>
    <w:rPr>
      <w:sz w:val="24"/>
      <w:szCs w:val="24"/>
    </w:rPr>
  </w:style>
  <w:style w:type="paragraph" w:styleId="headertext">
    <w:name w:val="headertext"/>
    <w:basedOn w:val="Normal"/>
    <w:qFormat/>
    <w:pPr>
      <w:suppressAutoHyphens w:val="true"/>
      <w:spacing w:before="100" w:after="100"/>
    </w:pPr>
    <w:rPr>
      <w:sz w:val="24"/>
      <w:szCs w:val="24"/>
    </w:rPr>
  </w:style>
  <w:style w:type="paragraph" w:styleId="Style27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28">
    <w:name w:val="Заголовок таблицы"/>
    <w:basedOn w:val="Style27"/>
    <w:qFormat/>
    <w:pPr>
      <w:suppressAutoHyphens w:val="true"/>
      <w:jc w:val="center"/>
    </w:pPr>
    <w:rPr>
      <w:b/>
      <w:bCs/>
    </w:rPr>
  </w:style>
  <w:style w:type="paragraph" w:styleId="Style29">
    <w:name w:val="Содержимое врезки"/>
    <w:basedOn w:val="Normal"/>
    <w:qFormat/>
    <w:pPr>
      <w:suppressAutoHyphens w:val="true"/>
    </w:pPr>
    <w:rPr/>
  </w:style>
  <w:style w:type="paragraph" w:styleId="15">
    <w:name w:val="Абзац списка1"/>
    <w:basedOn w:val="Normal"/>
    <w:qFormat/>
    <w:pPr>
      <w:spacing w:lineRule="auto" w:line="276" w:before="0" w:after="200"/>
      <w:ind w:hanging="0" w:start="720" w:end="0"/>
    </w:pPr>
    <w:rPr>
      <w:rFonts w:ascii="Calibri" w:hAnsi="Calibri"/>
      <w:sz w:val="22"/>
      <w:szCs w:val="22"/>
      <w:lang w:eastAsia="en-US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start"/>
      <w:textAlignment w:val="baseline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ar-SA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>
      <w:sz w:val="24"/>
      <w:szCs w:val="24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4655</TotalTime>
  <Application>LibreOffice/24.8.4.2$Linux_X86_64 LibreOffice_project/480$Build-2</Application>
  <AppVersion>15.0000</AppVersion>
  <Pages>10</Pages>
  <Words>1533</Words>
  <Characters>11051</Characters>
  <CharactersWithSpaces>12466</CharactersWithSpaces>
  <Paragraphs>261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2025-02-19T09:23:00Z</dcterms:created>
  <dc:creator>Суроткина</dc:creator>
  <dc:description/>
  <dc:language>ru-RU</dc:language>
  <cp:lastModifiedBy/>
  <cp:lastPrinted>2022-05-06T12:56:00Z</cp:lastPrinted>
  <dcterms:modified xsi:type="dcterms:W3CDTF">2026-09-28T08:59:51Z</dcterms:modified>
  <cp:revision>24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